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sz w:val="24"/>
          <w:szCs w:val="24"/>
        </w:rPr>
      </w:pPr>
      <w:r w:rsidDel="00000000" w:rsidR="00000000" w:rsidRPr="00000000">
        <w:rPr>
          <w:rFonts w:ascii="Calibri" w:cs="Calibri" w:eastAsia="Calibri" w:hAnsi="Calibri"/>
          <w:b w:val="1"/>
          <w:bCs w:val="1"/>
          <w:sz w:val="28"/>
          <w:szCs w:val="28"/>
          <w:rtl w:val="0"/>
        </w:rPr>
        <w:t xml:space="preserve">CÂMARA MUNICIPAL DE NITERÓI</w:t>
        <w:br w:type="textWrapping"/>
        <w:t xml:space="preserve">GABINETE DO VEREADOR RENATO CARIELLO</w:t>
      </w:r>
      <w:r w:rsidDel="00000000" w:rsidR="00000000" w:rsidRPr="00000000">
        <w:rPr>
          <w:sz w:val="24"/>
          <w:szCs w:val="24"/>
          <w:rtl w:val="0"/>
        </w:rPr>
        <w:t xml:space="preserve"> </w:t>
      </w:r>
    </w:p>
    <w:p w:rsidR="00000000" w:rsidDel="00000000" w:rsidP="00000000" w:rsidRDefault="00000000" w:rsidRPr="00000000" w14:paraId="00000002">
      <w:pPr>
        <w:spacing w:after="240" w:before="240" w:lineRule="auto"/>
        <w:jc w:val="center"/>
        <w:rPr>
          <w:rFonts w:ascii="Tahoma" w:cs="Tahoma" w:eastAsia="Tahoma" w:hAnsi="Tahoma"/>
          <w:b w:val="1"/>
          <w:bCs w:val="1"/>
        </w:rPr>
      </w:pPr>
      <w:r w:rsidDel="00000000" w:rsidR="00000000" w:rsidRPr="00000000">
        <w:rPr>
          <w:rFonts w:ascii="Tahoma" w:cs="Tahoma" w:eastAsia="Tahoma" w:hAnsi="Tahoma"/>
          <w:rtl w:val="0"/>
        </w:rPr>
        <w:t xml:space="preserve">Moção Nº</w:t>
      </w:r>
      <w:r w:rsidDel="00000000" w:rsidR="00000000" w:rsidRPr="00000000">
        <w:rPr>
          <w:rFonts w:ascii="Tahoma" w:cs="Tahoma" w:eastAsia="Tahoma" w:hAnsi="Tahoma"/>
          <w:b w:val="1"/>
          <w:bCs w:val="1"/>
          <w:rtl w:val="0"/>
        </w:rPr>
        <w:t xml:space="preserve"> </w:t>
      </w:r>
    </w:p>
    <w:p w:rsidR="00000000" w:rsidDel="00000000" w:rsidP="00000000" w:rsidRDefault="00000000" w:rsidRPr="00000000" w14:paraId="00000003">
      <w:pPr>
        <w:spacing w:after="240" w:before="240" w:line="360" w:lineRule="auto"/>
        <w:ind w:left="4320" w:firstLine="0"/>
        <w:jc w:val="both"/>
        <w:rPr>
          <w:rFonts w:ascii="Tahoma" w:cs="Tahoma" w:eastAsia="Tahoma" w:hAnsi="Tahoma"/>
        </w:rPr>
      </w:pPr>
      <w:r w:rsidDel="00000000" w:rsidR="00000000" w:rsidRPr="00000000">
        <w:rPr>
          <w:rFonts w:ascii="Tahoma" w:cs="Tahoma" w:eastAsia="Tahoma" w:hAnsi="Tahoma"/>
          <w:rtl w:val="0"/>
        </w:rPr>
        <w:t xml:space="preserve">Envia </w:t>
      </w:r>
      <w:r w:rsidDel="00000000" w:rsidR="00000000" w:rsidRPr="00000000">
        <w:rPr>
          <w:rFonts w:ascii="Tahoma" w:cs="Tahoma" w:eastAsia="Tahoma" w:hAnsi="Tahoma"/>
          <w:b w:val="1"/>
          <w:bCs w:val="1"/>
          <w:rtl w:val="0"/>
        </w:rPr>
        <w:t xml:space="preserve">Moção de Aplausos </w:t>
      </w:r>
      <w:r w:rsidDel="00000000" w:rsidR="00000000" w:rsidRPr="00000000">
        <w:rPr>
          <w:rFonts w:ascii="Tahoma" w:cs="Tahoma" w:eastAsia="Tahoma" w:hAnsi="Tahoma"/>
          <w:rtl w:val="0"/>
        </w:rPr>
        <w:t xml:space="preserve">ao</w:t>
      </w:r>
      <w:r w:rsidDel="00000000" w:rsidR="00000000" w:rsidRPr="00000000">
        <w:rPr>
          <w:rFonts w:ascii="Tahoma" w:cs="Tahoma" w:eastAsia="Tahoma" w:hAnsi="Tahoma"/>
          <w:b w:val="1"/>
          <w:bCs w:val="1"/>
          <w:rtl w:val="0"/>
        </w:rPr>
        <w:t xml:space="preserve"> Dr. Luiz Henrique Marques Pereira, Delegado de Polícia da 76º DP</w:t>
      </w:r>
      <w:r w:rsidDel="00000000" w:rsidR="00000000" w:rsidRPr="00000000">
        <w:rPr>
          <w:rFonts w:ascii="Tahoma" w:cs="Tahoma" w:eastAsia="Tahoma" w:hAnsi="Tahoma"/>
          <w:rtl w:val="0"/>
        </w:rPr>
        <w:t xml:space="preserve">. ID 4177301-2</w:t>
      </w:r>
      <w:r w:rsidDel="00000000" w:rsidR="00000000" w:rsidRPr="00000000">
        <w:rPr>
          <w:rFonts w:ascii="Tahoma" w:cs="Tahoma" w:eastAsia="Tahoma" w:hAnsi="Tahoma"/>
          <w:rtl w:val="0"/>
        </w:rPr>
        <w:t xml:space="preserve">.</w:t>
      </w:r>
    </w:p>
    <w:p w:rsidR="00000000" w:rsidDel="00000000" w:rsidP="00000000" w:rsidRDefault="00000000" w:rsidRPr="00000000" w14:paraId="00000004">
      <w:pPr>
        <w:spacing w:after="240" w:before="240" w:line="360" w:lineRule="auto"/>
        <w:jc w:val="both"/>
        <w:rPr>
          <w:rFonts w:ascii="Tahoma" w:cs="Tahoma" w:eastAsia="Tahoma" w:hAnsi="Tahoma"/>
        </w:rPr>
      </w:pPr>
      <w:r w:rsidDel="00000000" w:rsidR="00000000" w:rsidRPr="00000000">
        <w:rPr>
          <w:rFonts w:ascii="Tahoma" w:cs="Tahoma" w:eastAsia="Tahoma" w:hAnsi="Tahoma"/>
          <w:rtl w:val="0"/>
        </w:rPr>
        <w:t xml:space="preserve">Requeiro à Mesa, na forma regimental que seja enviada </w:t>
      </w:r>
      <w:r w:rsidDel="00000000" w:rsidR="00000000" w:rsidRPr="00000000">
        <w:rPr>
          <w:rFonts w:ascii="Tahoma" w:cs="Tahoma" w:eastAsia="Tahoma" w:hAnsi="Tahoma"/>
          <w:b w:val="1"/>
          <w:bCs w:val="1"/>
          <w:rtl w:val="0"/>
        </w:rPr>
        <w:t xml:space="preserve">Moção de Aplausos </w:t>
      </w:r>
      <w:r w:rsidDel="00000000" w:rsidR="00000000" w:rsidRPr="00000000">
        <w:rPr>
          <w:rFonts w:ascii="Tahoma" w:cs="Tahoma" w:eastAsia="Tahoma" w:hAnsi="Tahoma"/>
          <w:rtl w:val="0"/>
        </w:rPr>
        <w:t xml:space="preserve">ao</w:t>
      </w:r>
      <w:r w:rsidDel="00000000" w:rsidR="00000000" w:rsidRPr="00000000">
        <w:rPr>
          <w:rFonts w:ascii="Tahoma" w:cs="Tahoma" w:eastAsia="Tahoma" w:hAnsi="Tahoma"/>
          <w:b w:val="1"/>
          <w:bCs w:val="1"/>
          <w:rtl w:val="0"/>
        </w:rPr>
        <w:t xml:space="preserve"> Dr. Luiz Henrique Marques Pereira, Delegado de Polícia da 76º DP</w:t>
      </w:r>
      <w:r w:rsidDel="00000000" w:rsidR="00000000" w:rsidRPr="00000000">
        <w:rPr>
          <w:rFonts w:ascii="Tahoma" w:cs="Tahoma" w:eastAsia="Tahoma" w:hAnsi="Tahoma"/>
          <w:rtl w:val="0"/>
        </w:rPr>
        <w:t xml:space="preserve">. ID 4177301-2.</w:t>
      </w:r>
      <w:r w:rsidDel="00000000" w:rsidR="00000000" w:rsidRPr="00000000">
        <w:rPr>
          <w:rtl w:val="0"/>
        </w:rPr>
      </w:r>
    </w:p>
    <w:p w:rsidR="00000000" w:rsidDel="00000000" w:rsidP="00000000" w:rsidRDefault="00000000" w:rsidRPr="00000000" w14:paraId="00000005">
      <w:pPr>
        <w:spacing w:after="240" w:before="240" w:line="360" w:lineRule="auto"/>
        <w:jc w:val="right"/>
        <w:rPr>
          <w:rFonts w:ascii="Tahoma" w:cs="Tahoma" w:eastAsia="Tahoma" w:hAnsi="Tahoma"/>
        </w:rPr>
      </w:pPr>
      <w:r w:rsidDel="00000000" w:rsidR="00000000" w:rsidRPr="00000000">
        <w:rPr>
          <w:rFonts w:ascii="Tahoma" w:cs="Tahoma" w:eastAsia="Tahoma" w:hAnsi="Tahoma"/>
          <w:rtl w:val="0"/>
        </w:rPr>
        <w:t xml:space="preserve">Sala das Sessões, 10 de Junho de 2026.</w:t>
      </w:r>
    </w:p>
    <w:p w:rsidR="00000000" w:rsidDel="00000000" w:rsidP="00000000" w:rsidRDefault="00000000" w:rsidRPr="00000000" w14:paraId="00000006">
      <w:pPr>
        <w:spacing w:after="240" w:before="240" w:lineRule="auto"/>
        <w:ind w:left="0" w:firstLine="0"/>
        <w:jc w:val="center"/>
        <w:rPr>
          <w:rFonts w:ascii="Tahoma" w:cs="Tahoma" w:eastAsia="Tahoma" w:hAnsi="Tahoma"/>
        </w:rPr>
      </w:pPr>
      <w:r w:rsidDel="00000000" w:rsidR="00000000" w:rsidRPr="00000000">
        <w:rPr>
          <w:rFonts w:ascii="Tahoma" w:cs="Tahoma" w:eastAsia="Tahoma" w:hAnsi="Tahoma"/>
          <w:b w:val="1"/>
          <w:bCs w:val="1"/>
          <w:rtl w:val="0"/>
        </w:rPr>
        <w:t xml:space="preserve">Renato Cariello</w:t>
        <w:br w:type="textWrapping"/>
      </w:r>
      <w:r w:rsidDel="00000000" w:rsidR="00000000" w:rsidRPr="00000000">
        <w:rPr>
          <w:rFonts w:ascii="Tahoma" w:cs="Tahoma" w:eastAsia="Tahoma" w:hAnsi="Tahoma"/>
          <w:rtl w:val="0"/>
        </w:rPr>
        <w:t xml:space="preserve">Vereador </w:t>
      </w:r>
    </w:p>
    <w:p w:rsidR="00000000" w:rsidDel="00000000" w:rsidP="00000000" w:rsidRDefault="00000000" w:rsidRPr="00000000" w14:paraId="00000007">
      <w:pPr>
        <w:spacing w:after="240" w:before="240" w:lineRule="auto"/>
        <w:rPr>
          <w:rFonts w:ascii="Tahoma" w:cs="Tahoma" w:eastAsia="Tahoma" w:hAnsi="Tahoma"/>
          <w:b w:val="1"/>
          <w:bCs w:val="1"/>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rtl w:val="0"/>
        </w:rPr>
        <w:t xml:space="preserve">Justificativa:</w:t>
      </w:r>
    </w:p>
    <w:p w:rsidR="00000000" w:rsidDel="00000000" w:rsidP="00000000" w:rsidRDefault="00000000" w:rsidRPr="00000000" w14:paraId="00000008">
      <w:pPr>
        <w:spacing w:line="360" w:lineRule="auto"/>
        <w:ind w:firstLine="70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Justifica-se a presente Moção de Aplausos ao </w:t>
      </w:r>
      <w:r w:rsidDel="00000000" w:rsidR="00000000" w:rsidRPr="00000000">
        <w:rPr>
          <w:rFonts w:ascii="Tahoma" w:cs="Tahoma" w:eastAsia="Tahoma" w:hAnsi="Tahoma"/>
          <w:b w:val="1"/>
          <w:bCs w:val="1"/>
          <w:sz w:val="20"/>
          <w:szCs w:val="20"/>
          <w:rtl w:val="0"/>
        </w:rPr>
        <w:t xml:space="preserve">Dr. Luiz Henrique Marques Pereira, Delegado de Polícia da 76º DP</w:t>
      </w:r>
      <w:r w:rsidDel="00000000" w:rsidR="00000000" w:rsidRPr="00000000">
        <w:rPr>
          <w:rFonts w:ascii="Tahoma" w:cs="Tahoma" w:eastAsia="Tahoma" w:hAnsi="Tahoma"/>
          <w:sz w:val="20"/>
          <w:szCs w:val="20"/>
          <w:rtl w:val="0"/>
        </w:rPr>
        <w:t xml:space="preserve">. Pela brilhante atuação durante a OPERAÇÃO ARENA, que teve como objetivo desarticular uma quadrilha acusada de praticar um roubo cinematográfico ocorrido na madrugada de 12 de maio de 2026 no canteiro de obras da Arena Niterói, um complexo esportivo e cultural que vinha sendo construído pela Prefeitura Municipal no centro da cidade de Niterói.</w:t>
      </w:r>
    </w:p>
    <w:p w:rsidR="00000000" w:rsidDel="00000000" w:rsidP="00000000" w:rsidRDefault="00000000" w:rsidRPr="00000000" w14:paraId="00000009">
      <w:pPr>
        <w:spacing w:line="360" w:lineRule="auto"/>
        <w:ind w:firstLine="70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Na ocasião, onze indivíduos que utilizavam roupas semelhantes às dos trabalhadores da obra, chegaram no local em dois caminhões e três carros de passeio, a maioria deles clonados. Após renderem o vigia do canteiro de obras, subtraíram cerca de quinhentos mil reais em ferramentas e equipamentos.</w:t>
      </w:r>
    </w:p>
    <w:p w:rsidR="00000000" w:rsidDel="00000000" w:rsidP="00000000" w:rsidRDefault="00000000" w:rsidRPr="00000000" w14:paraId="0000000A">
      <w:pPr>
        <w:spacing w:line="360" w:lineRule="auto"/>
        <w:ind w:firstLine="70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atuação integrada entre a Polícia Civil, Polícia Rodoviária Federal e o Centro Integrado de Segurança Pública de Niterói (CISP), foi fundamental para o êxito da investigação, culminou com a prisão de dois dos principais integrantes da Associação Criminosa e na identificação de outros dois, conferindo positiva repercussão nos meios de comunicação a nível nacional.</w:t>
      </w:r>
    </w:p>
    <w:p w:rsidR="00000000" w:rsidDel="00000000" w:rsidP="00000000" w:rsidRDefault="00000000" w:rsidRPr="00000000" w14:paraId="0000000B">
      <w:pPr>
        <w:spacing w:line="360" w:lineRule="auto"/>
        <w:ind w:firstLine="70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Ações como estas se destacam como um modelo de excelência no Serviço Público, pois evidenciam valores como profissionalismo, dedicação e eficiência, não restando dúvida que esses brilhantes homens são verdadeiros exemplos para os integrantes das suas instituições e motivos de orgulho para a sociedade niteroiense.</w:t>
      </w:r>
    </w:p>
    <w:p w:rsidR="00000000" w:rsidDel="00000000" w:rsidP="00000000" w:rsidRDefault="00000000" w:rsidRPr="00000000" w14:paraId="0000000C">
      <w:pPr>
        <w:spacing w:after="240" w:before="240" w:line="360" w:lineRule="auto"/>
        <w:ind w:left="180" w:firstLine="520"/>
        <w:jc w:val="both"/>
        <w:rPr>
          <w:rFonts w:ascii="Tahoma" w:cs="Tahoma" w:eastAsia="Tahoma" w:hAnsi="Tahoma"/>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D">
    <w:pPr>
      <w:jc w:val="center"/>
      <w:rPr>
        <w:b w:val="1"/>
        <w:bCs w:val="1"/>
      </w:rPr>
    </w:pPr>
    <w:r w:rsidDel="00000000" w:rsidR="00000000" w:rsidRPr="00000000">
      <w:rPr>
        <w:b w:val="1"/>
        <w:bCs w:val="1"/>
      </w:rPr>
      <w:drawing>
        <wp:inline distB="114300" distT="114300" distL="114300" distR="114300">
          <wp:extent cx="1076325" cy="90487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76325" cy="90487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