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9A8508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5B5E" w:rsidRPr="00E45B5E">
        <w:rPr>
          <w:rFonts w:ascii="Times New Roman" w:hAnsi="Times New Roman" w:cs="Times New Roman"/>
          <w:b/>
          <w:sz w:val="24"/>
          <w:szCs w:val="24"/>
        </w:rPr>
        <w:t>FERNANDA RAMOS MENDONÇA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F225152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45B5E" w:rsidRPr="00E45B5E">
        <w:rPr>
          <w:rFonts w:ascii="Times New Roman" w:hAnsi="Times New Roman" w:cs="Times New Roman"/>
          <w:b/>
          <w:sz w:val="24"/>
          <w:szCs w:val="24"/>
        </w:rPr>
        <w:t>Fernanda Ramos Mendonça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EBC591F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E45B5E" w:rsidRPr="00E45B5E">
        <w:rPr>
          <w:b/>
        </w:rPr>
        <w:t>Fernanda Ramos Mendonça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8C221-3362-4A01-B65D-E6620FE01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2026-06-15T16:46:00Z</cp:lastPrinted>
  <dcterms:created xsi:type="dcterms:W3CDTF">2026-06-15T16:48:00Z</dcterms:created>
  <dcterms:modified xsi:type="dcterms:W3CDTF">2026-06-15T16:48:00Z</dcterms:modified>
</cp:coreProperties>
</file>