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93127A" w14:textId="5AD602A9" w:rsidR="009C3FC3" w:rsidRDefault="00000000">
      <w:pPr>
        <w:jc w:val="right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Parecer CAESP Nº </w:t>
      </w:r>
      <w:r w:rsidR="00EE2EC4">
        <w:rPr>
          <w:rFonts w:ascii="Arial" w:eastAsia="Arial" w:hAnsi="Arial" w:cs="Arial"/>
          <w:b/>
        </w:rPr>
        <w:t xml:space="preserve">    </w:t>
      </w:r>
      <w:r>
        <w:rPr>
          <w:rFonts w:ascii="Arial" w:eastAsia="Arial" w:hAnsi="Arial" w:cs="Arial"/>
          <w:b/>
        </w:rPr>
        <w:t xml:space="preserve"> /202</w:t>
      </w:r>
      <w:r w:rsidR="00AF5A59">
        <w:rPr>
          <w:rFonts w:ascii="Arial" w:eastAsia="Arial" w:hAnsi="Arial" w:cs="Arial"/>
          <w:b/>
        </w:rPr>
        <w:t>6</w:t>
      </w:r>
    </w:p>
    <w:p w14:paraId="1E38AEDC" w14:textId="77777777" w:rsidR="009C3FC3" w:rsidRDefault="009C3FC3">
      <w:pPr>
        <w:jc w:val="right"/>
        <w:rPr>
          <w:rFonts w:ascii="Arial" w:eastAsia="Arial" w:hAnsi="Arial" w:cs="Arial"/>
          <w:b/>
        </w:rPr>
      </w:pPr>
    </w:p>
    <w:p w14:paraId="7F98EDE8" w14:textId="77777777" w:rsidR="009C3FC3" w:rsidRDefault="009C3FC3">
      <w:pPr>
        <w:jc w:val="right"/>
        <w:rPr>
          <w:rFonts w:ascii="Arial" w:eastAsia="Arial" w:hAnsi="Arial" w:cs="Arial"/>
          <w:b/>
        </w:rPr>
      </w:pPr>
    </w:p>
    <w:p w14:paraId="28EBE221" w14:textId="77777777" w:rsidR="009C3FC3" w:rsidRDefault="009C3FC3">
      <w:pPr>
        <w:jc w:val="right"/>
        <w:rPr>
          <w:rFonts w:ascii="Arial" w:eastAsia="Arial" w:hAnsi="Arial" w:cs="Arial"/>
          <w:b/>
        </w:rPr>
      </w:pPr>
    </w:p>
    <w:p w14:paraId="7C4EE7C6" w14:textId="050C2980" w:rsidR="009C3FC3" w:rsidRDefault="00000000">
      <w:pP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PROJETO DE LEI Nº 1</w:t>
      </w:r>
      <w:r w:rsidR="00EE2EC4">
        <w:rPr>
          <w:rFonts w:ascii="Arial" w:eastAsia="Arial" w:hAnsi="Arial" w:cs="Arial"/>
          <w:b/>
        </w:rPr>
        <w:t>92</w:t>
      </w:r>
      <w:r>
        <w:rPr>
          <w:rFonts w:ascii="Arial" w:eastAsia="Arial" w:hAnsi="Arial" w:cs="Arial"/>
          <w:b/>
        </w:rPr>
        <w:t>/202</w:t>
      </w:r>
      <w:r w:rsidR="00EE2EC4">
        <w:rPr>
          <w:rFonts w:ascii="Arial" w:eastAsia="Arial" w:hAnsi="Arial" w:cs="Arial"/>
          <w:b/>
        </w:rPr>
        <w:t>6</w:t>
      </w:r>
    </w:p>
    <w:p w14:paraId="7A1E8452" w14:textId="77777777" w:rsidR="009C3FC3" w:rsidRDefault="009C3FC3">
      <w:pPr>
        <w:rPr>
          <w:rFonts w:ascii="Arial" w:eastAsia="Arial" w:hAnsi="Arial" w:cs="Arial"/>
          <w:b/>
        </w:rPr>
      </w:pPr>
    </w:p>
    <w:p w14:paraId="7FC7457B" w14:textId="77777777" w:rsidR="009C3FC3" w:rsidRDefault="009C3FC3">
      <w:pPr>
        <w:jc w:val="center"/>
        <w:rPr>
          <w:rFonts w:ascii="Arial" w:eastAsia="Arial" w:hAnsi="Arial" w:cs="Arial"/>
          <w:b/>
        </w:rPr>
      </w:pPr>
    </w:p>
    <w:p w14:paraId="1AC17E17" w14:textId="77777777" w:rsidR="009C3FC3" w:rsidRDefault="009C3FC3">
      <w:pPr>
        <w:jc w:val="center"/>
        <w:rPr>
          <w:rFonts w:ascii="Arial" w:eastAsia="Arial" w:hAnsi="Arial" w:cs="Arial"/>
          <w:b/>
        </w:rPr>
      </w:pPr>
    </w:p>
    <w:p w14:paraId="0C0EFC52" w14:textId="77777777" w:rsidR="009C3FC3" w:rsidRDefault="00000000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AUTOR: PODER EXECUTIVO</w:t>
      </w:r>
    </w:p>
    <w:p w14:paraId="35F27F9A" w14:textId="77777777" w:rsidR="009C3FC3" w:rsidRDefault="009C3FC3">
      <w:pPr>
        <w:rPr>
          <w:rFonts w:ascii="Arial" w:eastAsia="Arial" w:hAnsi="Arial" w:cs="Arial"/>
        </w:rPr>
      </w:pPr>
    </w:p>
    <w:p w14:paraId="3315F80F" w14:textId="77777777" w:rsidR="009C3FC3" w:rsidRDefault="009C3FC3">
      <w:pPr>
        <w:jc w:val="center"/>
        <w:rPr>
          <w:rFonts w:ascii="Arial" w:eastAsia="Arial" w:hAnsi="Arial" w:cs="Arial"/>
        </w:rPr>
      </w:pPr>
    </w:p>
    <w:p w14:paraId="6CDA2B5E" w14:textId="34E75352" w:rsidR="009C3FC3" w:rsidRPr="00CF4B99" w:rsidRDefault="00000000" w:rsidP="00CF4B99">
      <w:pPr>
        <w:ind w:left="4248" w:firstLine="72"/>
        <w:jc w:val="both"/>
        <w:rPr>
          <w:rFonts w:ascii="Arial" w:eastAsia="Arial" w:hAnsi="Arial" w:cs="Arial"/>
          <w:b/>
        </w:rPr>
      </w:pPr>
      <w:r w:rsidRPr="00CF4B99">
        <w:rPr>
          <w:rFonts w:ascii="Arial" w:eastAsia="Arial" w:hAnsi="Arial" w:cs="Arial"/>
        </w:rPr>
        <w:t xml:space="preserve">Ementa: </w:t>
      </w:r>
      <w:r w:rsidR="00CF4B99" w:rsidRPr="00CF4B99">
        <w:rPr>
          <w:rFonts w:ascii="Arial" w:hAnsi="Arial" w:cs="Arial"/>
          <w:color w:val="000000"/>
        </w:rPr>
        <w:t>Dispõe sobre a transferência da Coordenação de Transparência municipal para a Controladoria Geral do Município e dá outras providências.</w:t>
      </w:r>
      <w:r w:rsidRPr="00CF4B99">
        <w:rPr>
          <w:rFonts w:ascii="Arial" w:eastAsia="Arial" w:hAnsi="Arial" w:cs="Arial"/>
          <w:b/>
        </w:rPr>
        <w:t xml:space="preserve"> </w:t>
      </w:r>
    </w:p>
    <w:p w14:paraId="08BE9FC6" w14:textId="77777777" w:rsidR="009C3FC3" w:rsidRDefault="009C3FC3">
      <w:pPr>
        <w:ind w:left="4248"/>
        <w:jc w:val="both"/>
        <w:rPr>
          <w:rFonts w:ascii="Calibri" w:eastAsia="Calibri" w:hAnsi="Calibri" w:cs="Calibri"/>
          <w:b/>
        </w:rPr>
      </w:pPr>
    </w:p>
    <w:p w14:paraId="140434B1" w14:textId="77777777" w:rsidR="009C3FC3" w:rsidRDefault="009C3FC3">
      <w:pPr>
        <w:rPr>
          <w:rFonts w:ascii="Arial" w:eastAsia="Arial" w:hAnsi="Arial" w:cs="Arial"/>
          <w:b/>
        </w:rPr>
      </w:pPr>
    </w:p>
    <w:p w14:paraId="006621E7" w14:textId="77777777" w:rsidR="009C3FC3" w:rsidRDefault="009C3FC3">
      <w:pPr>
        <w:ind w:left="4248"/>
        <w:rPr>
          <w:rFonts w:ascii="Arial" w:eastAsia="Arial" w:hAnsi="Arial" w:cs="Arial"/>
          <w:b/>
        </w:rPr>
      </w:pPr>
    </w:p>
    <w:p w14:paraId="692F45DA" w14:textId="77777777" w:rsidR="009C3FC3" w:rsidRDefault="00000000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 xml:space="preserve">RELATOR: </w:t>
      </w:r>
      <w:r>
        <w:rPr>
          <w:rFonts w:ascii="Arial" w:eastAsia="Arial" w:hAnsi="Arial" w:cs="Arial"/>
          <w:b/>
        </w:rPr>
        <w:t>PROFESSOR TULIO</w:t>
      </w:r>
    </w:p>
    <w:p w14:paraId="5597991B" w14:textId="77777777" w:rsidR="009C3FC3" w:rsidRDefault="009C3FC3">
      <w:pPr>
        <w:rPr>
          <w:rFonts w:ascii="Arial" w:eastAsia="Arial" w:hAnsi="Arial" w:cs="Arial"/>
          <w:b/>
        </w:rPr>
      </w:pPr>
    </w:p>
    <w:p w14:paraId="33D99207" w14:textId="77777777" w:rsidR="009C3FC3" w:rsidRDefault="009C3FC3">
      <w:pPr>
        <w:rPr>
          <w:rFonts w:ascii="Arial" w:eastAsia="Arial" w:hAnsi="Arial" w:cs="Arial"/>
          <w:b/>
        </w:rPr>
      </w:pPr>
    </w:p>
    <w:p w14:paraId="3CC3DBA1" w14:textId="77777777" w:rsidR="009C3FC3" w:rsidRDefault="009C3FC3">
      <w:pPr>
        <w:rPr>
          <w:rFonts w:ascii="Arial" w:eastAsia="Arial" w:hAnsi="Arial" w:cs="Arial"/>
          <w:b/>
        </w:rPr>
      </w:pPr>
    </w:p>
    <w:p w14:paraId="3A955C4D" w14:textId="77777777" w:rsidR="005079A2" w:rsidRDefault="00000000" w:rsidP="00AE07AD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u w:val="single"/>
        </w:rPr>
        <w:t>Relatório:</w:t>
      </w:r>
      <w:r>
        <w:rPr>
          <w:rFonts w:ascii="Arial" w:eastAsia="Arial" w:hAnsi="Arial" w:cs="Arial"/>
        </w:rPr>
        <w:t xml:space="preserve">  </w:t>
      </w:r>
    </w:p>
    <w:p w14:paraId="78C03DAE" w14:textId="77777777" w:rsidR="005079A2" w:rsidRDefault="005079A2" w:rsidP="00AE07AD">
      <w:pPr>
        <w:jc w:val="both"/>
        <w:rPr>
          <w:rFonts w:ascii="Arial" w:eastAsia="Arial" w:hAnsi="Arial" w:cs="Arial"/>
        </w:rPr>
      </w:pPr>
    </w:p>
    <w:p w14:paraId="6119AD22" w14:textId="0F02C806" w:rsidR="00AE07AD" w:rsidRDefault="00AE07AD" w:rsidP="005079A2">
      <w:pPr>
        <w:ind w:firstLine="720"/>
        <w:jc w:val="both"/>
        <w:rPr>
          <w:rFonts w:ascii="Arial" w:eastAsia="Arial" w:hAnsi="Arial" w:cs="Arial"/>
        </w:rPr>
      </w:pPr>
      <w:r w:rsidRPr="00AE07AD">
        <w:rPr>
          <w:rFonts w:ascii="Arial" w:eastAsia="Arial" w:hAnsi="Arial" w:cs="Arial"/>
        </w:rPr>
        <w:t xml:space="preserve">Trata-se da análise e emissão de parecer de mérito administrativo por esta Comissão Permanente sobre o Projeto de Lei nº 192/2026, encaminhado pelo Poder Executivo por meio da Mensagem Executiva nº 11/2026. A presente iniciativa altera as Leis Municipais nº 3.084/2014 (Lei de Acesso à Informação Municipal) e nº 3.188/2015 (Política Municipal de Transparência). </w:t>
      </w:r>
    </w:p>
    <w:p w14:paraId="7FB70EAB" w14:textId="77777777" w:rsidR="00AE07AD" w:rsidRPr="00AE07AD" w:rsidRDefault="00AE07AD" w:rsidP="00AE07AD">
      <w:pPr>
        <w:jc w:val="both"/>
        <w:rPr>
          <w:rFonts w:ascii="Arial" w:eastAsia="Arial" w:hAnsi="Arial" w:cs="Arial"/>
        </w:rPr>
      </w:pPr>
    </w:p>
    <w:p w14:paraId="3113CEB7" w14:textId="3A879350" w:rsidR="00AE07AD" w:rsidRPr="00AE07AD" w:rsidRDefault="00AE07AD" w:rsidP="005079A2">
      <w:pPr>
        <w:ind w:firstLine="720"/>
        <w:jc w:val="both"/>
        <w:rPr>
          <w:rFonts w:ascii="Arial" w:eastAsia="Arial" w:hAnsi="Arial" w:cs="Arial"/>
        </w:rPr>
      </w:pPr>
      <w:r w:rsidRPr="00AE07AD">
        <w:rPr>
          <w:rFonts w:ascii="Arial" w:eastAsia="Arial" w:hAnsi="Arial" w:cs="Arial"/>
        </w:rPr>
        <w:t>O cerne da proposta do Executivo reside na transferência da Coordenação de Transparência</w:t>
      </w:r>
      <w:r>
        <w:rPr>
          <w:rFonts w:ascii="Arial" w:eastAsia="Arial" w:hAnsi="Arial" w:cs="Arial"/>
        </w:rPr>
        <w:t xml:space="preserve">, </w:t>
      </w:r>
      <w:r w:rsidRPr="00AE07AD">
        <w:rPr>
          <w:rFonts w:ascii="Arial" w:eastAsia="Arial" w:hAnsi="Arial" w:cs="Arial"/>
        </w:rPr>
        <w:t>historicamente alocada na Secretaria Municipal de Planejamento, Orçamento e Modernização da Gestão (SEPLAG)</w:t>
      </w:r>
      <w:r>
        <w:rPr>
          <w:rFonts w:ascii="Arial" w:eastAsia="Arial" w:hAnsi="Arial" w:cs="Arial"/>
        </w:rPr>
        <w:t>,</w:t>
      </w:r>
      <w:r w:rsidRPr="00AE07AD">
        <w:rPr>
          <w:rFonts w:ascii="Arial" w:eastAsia="Arial" w:hAnsi="Arial" w:cs="Arial"/>
        </w:rPr>
        <w:t xml:space="preserve"> para a estrutura orgânica da Controladoria Geral do Município de Niterói (CGM). Conforme a justificativa enviada pelo Prefeito, a medida visa a formalizar e consolidar as funções de incremento da transparência e fomento ao controle social no órgão central de controle interno do município, em simetria com as competências já traçadas pela Lei Municipal nº 3.305/2017. O projeto também otimiza a nomenclatura operacional da página de acolhimento ao cidadão, substituindo o termo “e-sic” por “Serviço de Informações ao Cidadão – SIC”. </w:t>
      </w:r>
    </w:p>
    <w:p w14:paraId="66FA2ACB" w14:textId="77777777" w:rsidR="00AE07AD" w:rsidRDefault="00AE07AD" w:rsidP="00AE07AD">
      <w:pPr>
        <w:jc w:val="both"/>
        <w:rPr>
          <w:rFonts w:ascii="Arial" w:eastAsia="Arial" w:hAnsi="Arial" w:cs="Arial"/>
        </w:rPr>
      </w:pPr>
    </w:p>
    <w:p w14:paraId="5FEE0265" w14:textId="76EFC234" w:rsidR="00AE07AD" w:rsidRDefault="00AE07AD" w:rsidP="005079A2">
      <w:pPr>
        <w:ind w:firstLine="720"/>
        <w:jc w:val="both"/>
        <w:rPr>
          <w:rFonts w:ascii="Arial" w:eastAsia="Arial" w:hAnsi="Arial" w:cs="Arial"/>
        </w:rPr>
      </w:pPr>
      <w:r w:rsidRPr="00AE07AD">
        <w:rPr>
          <w:rFonts w:ascii="Arial" w:eastAsia="Arial" w:hAnsi="Arial" w:cs="Arial"/>
        </w:rPr>
        <w:t xml:space="preserve">No curso do processo legislativo, foram apresentadas 3 (três) Emendas Aditivas pelo Vereador Daniel Marques: </w:t>
      </w:r>
    </w:p>
    <w:p w14:paraId="5D9085F7" w14:textId="49B9C60D" w:rsidR="00AE07AD" w:rsidRPr="00AE07AD" w:rsidRDefault="00AE07AD" w:rsidP="00AE07AD">
      <w:pPr>
        <w:jc w:val="both"/>
        <w:rPr>
          <w:rFonts w:ascii="Arial" w:eastAsia="Arial" w:hAnsi="Arial" w:cs="Arial"/>
        </w:rPr>
      </w:pPr>
    </w:p>
    <w:p w14:paraId="48DEB435" w14:textId="6A83E22A" w:rsidR="00AE07AD" w:rsidRPr="00AE07AD" w:rsidRDefault="00AE07AD" w:rsidP="005079A2">
      <w:pPr>
        <w:ind w:left="720"/>
        <w:jc w:val="both"/>
        <w:rPr>
          <w:rFonts w:ascii="Arial" w:eastAsia="Arial" w:hAnsi="Arial" w:cs="Arial"/>
        </w:rPr>
      </w:pPr>
      <w:r w:rsidRPr="00AE07AD">
        <w:rPr>
          <w:rFonts w:ascii="Arial" w:eastAsia="Arial" w:hAnsi="Arial" w:cs="Arial"/>
          <w:b/>
          <w:bCs/>
        </w:rPr>
        <w:t>Emenda Aditiva nº 01:</w:t>
      </w:r>
      <w:r w:rsidRPr="00AE07AD">
        <w:rPr>
          <w:rFonts w:ascii="Arial" w:eastAsia="Arial" w:hAnsi="Arial" w:cs="Arial"/>
        </w:rPr>
        <w:t xml:space="preserve"> Acrescenta parágrafo único ao art. 21 da Lei nº 3.188/2015, obrigando a publicação de pautas, atas e deliberações do Conselho Municipal de Transparência em sítio eletrônico oficial em formato acessível. </w:t>
      </w:r>
    </w:p>
    <w:p w14:paraId="47B45518" w14:textId="77777777" w:rsidR="00AE07AD" w:rsidRDefault="00AE07AD" w:rsidP="00AE07AD">
      <w:pPr>
        <w:jc w:val="both"/>
        <w:rPr>
          <w:rFonts w:ascii="Arial" w:eastAsia="Arial" w:hAnsi="Arial" w:cs="Arial"/>
          <w:b/>
          <w:bCs/>
        </w:rPr>
      </w:pPr>
    </w:p>
    <w:p w14:paraId="22B43517" w14:textId="264888C9" w:rsidR="00AE07AD" w:rsidRPr="00AE07AD" w:rsidRDefault="00AE07AD" w:rsidP="005079A2">
      <w:pPr>
        <w:ind w:left="720"/>
        <w:jc w:val="both"/>
        <w:rPr>
          <w:rFonts w:ascii="Arial" w:eastAsia="Arial" w:hAnsi="Arial" w:cs="Arial"/>
        </w:rPr>
      </w:pPr>
      <w:r w:rsidRPr="00AE07AD">
        <w:rPr>
          <w:rFonts w:ascii="Arial" w:eastAsia="Arial" w:hAnsi="Arial" w:cs="Arial"/>
          <w:b/>
          <w:bCs/>
        </w:rPr>
        <w:t>Emenda Aditiva nº 02:</w:t>
      </w:r>
      <w:r w:rsidRPr="00AE07AD">
        <w:rPr>
          <w:rFonts w:ascii="Arial" w:eastAsia="Arial" w:hAnsi="Arial" w:cs="Arial"/>
        </w:rPr>
        <w:t xml:space="preserve"> Estipula o prazo de até 60 dias para a formalização dos fluxos administrativos, transição de acervos documentais e sistemas operacionais decorrentes da migração estrutural para a CGM. </w:t>
      </w:r>
    </w:p>
    <w:p w14:paraId="21C78C61" w14:textId="77777777" w:rsidR="00AE07AD" w:rsidRDefault="00AE07AD" w:rsidP="00AE07AD">
      <w:pPr>
        <w:jc w:val="both"/>
        <w:rPr>
          <w:rFonts w:ascii="Arial" w:eastAsia="Arial" w:hAnsi="Arial" w:cs="Arial"/>
          <w:b/>
          <w:bCs/>
        </w:rPr>
      </w:pPr>
    </w:p>
    <w:p w14:paraId="7665730B" w14:textId="1913A5AD" w:rsidR="00AE07AD" w:rsidRPr="00AE07AD" w:rsidRDefault="00AE07AD" w:rsidP="005079A2">
      <w:pPr>
        <w:ind w:left="720"/>
        <w:jc w:val="both"/>
        <w:rPr>
          <w:rFonts w:ascii="Arial" w:eastAsia="Arial" w:hAnsi="Arial" w:cs="Arial"/>
        </w:rPr>
      </w:pPr>
      <w:r w:rsidRPr="00AE07AD">
        <w:rPr>
          <w:rFonts w:ascii="Arial" w:eastAsia="Arial" w:hAnsi="Arial" w:cs="Arial"/>
          <w:b/>
          <w:bCs/>
        </w:rPr>
        <w:t>Emenda Aditiva nº 03:</w:t>
      </w:r>
      <w:r w:rsidRPr="00AE07AD">
        <w:rPr>
          <w:rFonts w:ascii="Arial" w:eastAsia="Arial" w:hAnsi="Arial" w:cs="Arial"/>
        </w:rPr>
        <w:t xml:space="preserve"> Inclui incisos ao art. 50 da Lei nº 3.084/2014 para impor a publicação periódica de relatórios estatísticos quantitativos/qualitativos sobre as demandas de acesso à informação e a entrega anual de um Relatório Público de Gestão da Transparência. </w:t>
      </w:r>
    </w:p>
    <w:p w14:paraId="4F95A142" w14:textId="77777777" w:rsidR="00AE07AD" w:rsidRDefault="00AE07AD" w:rsidP="00AE07AD">
      <w:pPr>
        <w:jc w:val="both"/>
        <w:rPr>
          <w:rFonts w:ascii="Arial" w:eastAsia="Arial" w:hAnsi="Arial" w:cs="Arial"/>
        </w:rPr>
      </w:pPr>
    </w:p>
    <w:p w14:paraId="40CD7519" w14:textId="4F299CE9" w:rsidR="009C3FC3" w:rsidRPr="00AE07AD" w:rsidRDefault="00AE07AD" w:rsidP="005079A2">
      <w:pPr>
        <w:ind w:firstLine="720"/>
        <w:jc w:val="both"/>
        <w:rPr>
          <w:rFonts w:ascii="Arial" w:eastAsia="Arial" w:hAnsi="Arial" w:cs="Arial"/>
        </w:rPr>
      </w:pPr>
      <w:r w:rsidRPr="00AE07AD">
        <w:rPr>
          <w:rFonts w:ascii="Arial" w:eastAsia="Arial" w:hAnsi="Arial" w:cs="Arial"/>
        </w:rPr>
        <w:t>Encaminhada a esta Comissão de Administração, Estatística e Servidores Públicos (CAESP) nos termos regimentais, cabe a este colegiado avaliar a conveniência administrativa, o impacto na organização dos serviços públicos e a eficiência estatística das medidas propostas.</w:t>
      </w:r>
      <w:r>
        <w:rPr>
          <w:rFonts w:ascii="Arial" w:eastAsia="Arial" w:hAnsi="Arial" w:cs="Arial"/>
        </w:rPr>
        <w:t xml:space="preserve"> </w:t>
      </w:r>
      <w:r w:rsidR="00000000">
        <w:rPr>
          <w:rFonts w:ascii="Arial" w:eastAsia="Arial" w:hAnsi="Arial" w:cs="Arial"/>
        </w:rPr>
        <w:t xml:space="preserve">O projeto já possui parecer </w:t>
      </w:r>
      <w:r w:rsidR="00000000">
        <w:rPr>
          <w:rFonts w:ascii="Arial" w:eastAsia="Arial" w:hAnsi="Arial" w:cs="Arial"/>
          <w:b/>
        </w:rPr>
        <w:t>Favorável</w:t>
      </w:r>
      <w:r w:rsidR="00000000">
        <w:rPr>
          <w:rFonts w:ascii="Arial" w:eastAsia="Arial" w:hAnsi="Arial" w:cs="Arial"/>
        </w:rPr>
        <w:t xml:space="preserve"> da CCJ.</w:t>
      </w:r>
    </w:p>
    <w:p w14:paraId="2512101B" w14:textId="77777777" w:rsidR="009C3FC3" w:rsidRDefault="009C3FC3">
      <w:pPr>
        <w:rPr>
          <w:rFonts w:ascii="Arial" w:eastAsia="Arial" w:hAnsi="Arial" w:cs="Arial"/>
        </w:rPr>
      </w:pPr>
    </w:p>
    <w:p w14:paraId="4100B559" w14:textId="77777777" w:rsidR="009C3FC3" w:rsidRDefault="009C3FC3">
      <w:pPr>
        <w:rPr>
          <w:rFonts w:ascii="Arial" w:eastAsia="Arial" w:hAnsi="Arial" w:cs="Arial"/>
        </w:rPr>
      </w:pPr>
    </w:p>
    <w:p w14:paraId="5339F37E" w14:textId="77777777" w:rsidR="009C3FC3" w:rsidRDefault="00000000">
      <w:pPr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t>Voto do Relator</w:t>
      </w:r>
    </w:p>
    <w:p w14:paraId="713F12A5" w14:textId="77777777" w:rsidR="009C3FC3" w:rsidRDefault="009C3FC3">
      <w:pPr>
        <w:spacing w:line="276" w:lineRule="auto"/>
        <w:rPr>
          <w:rFonts w:ascii="Arial" w:eastAsia="Arial" w:hAnsi="Arial" w:cs="Arial"/>
          <w:u w:val="single"/>
        </w:rPr>
      </w:pPr>
    </w:p>
    <w:p w14:paraId="70D714B1" w14:textId="77777777" w:rsidR="005079A2" w:rsidRDefault="00AE07AD" w:rsidP="005079A2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00" w:after="200" w:line="276" w:lineRule="auto"/>
        <w:ind w:firstLine="720"/>
        <w:jc w:val="both"/>
        <w:rPr>
          <w:rFonts w:ascii="Arial" w:eastAsia="Arial" w:hAnsi="Arial" w:cs="Arial"/>
        </w:rPr>
      </w:pPr>
      <w:r w:rsidRPr="00AE07AD">
        <w:rPr>
          <w:rFonts w:ascii="Arial" w:eastAsia="Arial" w:hAnsi="Arial" w:cs="Arial"/>
        </w:rPr>
        <w:t xml:space="preserve">Diferentemente da Comissão de Constituição e Justiça (CCJ), cujo escopo limita-se estritamente à constitucionalidade e legalidade, compete à CAESP debruçar-se sobre o mérito substancial da gestão pública, analisando se a reorganização administrativa atende aos princípios constitucionais da eficiência, da publicidade e do interesse público (Art. 37, </w:t>
      </w:r>
      <w:r w:rsidRPr="00AE07AD">
        <w:rPr>
          <w:rFonts w:ascii="Arial" w:eastAsia="Arial" w:hAnsi="Arial" w:cs="Arial"/>
          <w:i/>
          <w:iCs/>
        </w:rPr>
        <w:t>caput</w:t>
      </w:r>
      <w:r w:rsidRPr="00AE07AD">
        <w:rPr>
          <w:rFonts w:ascii="Arial" w:eastAsia="Arial" w:hAnsi="Arial" w:cs="Arial"/>
        </w:rPr>
        <w:t>, CF/88).</w:t>
      </w:r>
    </w:p>
    <w:p w14:paraId="23D45A13" w14:textId="77AADC6C" w:rsidR="009C3FC3" w:rsidRDefault="00000000" w:rsidP="005079A2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00" w:after="200" w:line="276" w:lineRule="auto"/>
        <w:ind w:firstLine="72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Neste sentido, considerando o atendimento às determinações dos órgãos de controle, a natureza de adequação normativa da proposta, e a ausência de vícios formais identificados na análise preliminar; a CAESP entende ser possível manifestar-se favoravelmente à aprovação do Projeto de Lei em tela.</w:t>
      </w:r>
    </w:p>
    <w:p w14:paraId="24904E6A" w14:textId="77777777" w:rsidR="009C3FC3" w:rsidRDefault="009C3FC3">
      <w:pPr>
        <w:rPr>
          <w:rFonts w:ascii="Arial" w:eastAsia="Arial" w:hAnsi="Arial" w:cs="Arial"/>
        </w:rPr>
      </w:pPr>
    </w:p>
    <w:p w14:paraId="1B678571" w14:textId="0641B514" w:rsidR="00AE07AD" w:rsidRDefault="00AE07AD" w:rsidP="005079A2">
      <w:pPr>
        <w:ind w:firstLine="720"/>
        <w:jc w:val="both"/>
        <w:rPr>
          <w:rFonts w:ascii="Arial" w:eastAsia="Arial" w:hAnsi="Arial" w:cs="Arial"/>
        </w:rPr>
      </w:pPr>
      <w:r w:rsidRPr="00AE07AD">
        <w:rPr>
          <w:rFonts w:ascii="Arial" w:eastAsia="Arial" w:hAnsi="Arial" w:cs="Arial"/>
        </w:rPr>
        <w:t xml:space="preserve">A transferência da Coordenação de Transparência da SEPLAG para a Controladoria Geral do Município (CGM) revela-se uma medida de aperfeiçoamento gerencial incontestável. Desde o advento da Lei Municipal nº 3.305/2017, a CGM foi consolidada como o órgão central de controle interno, ouvidoria e integridade do Município de Niterói. </w:t>
      </w:r>
    </w:p>
    <w:p w14:paraId="778B403E" w14:textId="77777777" w:rsidR="00AE07AD" w:rsidRPr="00AE07AD" w:rsidRDefault="00AE07AD" w:rsidP="00AE07AD">
      <w:pPr>
        <w:jc w:val="both"/>
        <w:rPr>
          <w:rFonts w:ascii="Arial" w:eastAsia="Arial" w:hAnsi="Arial" w:cs="Arial"/>
        </w:rPr>
      </w:pPr>
    </w:p>
    <w:p w14:paraId="6D770462" w14:textId="77777777" w:rsidR="00AE07AD" w:rsidRDefault="00AE07AD" w:rsidP="005079A2">
      <w:pPr>
        <w:ind w:firstLine="720"/>
        <w:jc w:val="both"/>
        <w:rPr>
          <w:rFonts w:ascii="Arial" w:eastAsia="Arial" w:hAnsi="Arial" w:cs="Arial"/>
        </w:rPr>
      </w:pPr>
      <w:r w:rsidRPr="00AE07AD">
        <w:rPr>
          <w:rFonts w:ascii="Arial" w:eastAsia="Arial" w:hAnsi="Arial" w:cs="Arial"/>
        </w:rPr>
        <w:t xml:space="preserve">Do ponto de vista da Administração Pública moderna, a segregação das atividades de planejamento e orçamento (permanecendo com a SEPLAG) das atividades de controle, integridade e transparência passiva/ativa (migrando integralmente para a CGM) confere maior independência técnica e especialização às funções de fiscalização. O controle interno caminha lado a lado com a transparência; a centralização de dados auditados facilita e acelera o tempo de resposta às demandas populares e parlamentares via Serviço de Informações ao Cidadão (SIC). Portanto, a mudança estrutural atende ao princípio da racionalidade administrativa. </w:t>
      </w:r>
    </w:p>
    <w:p w14:paraId="2BC4740A" w14:textId="77777777" w:rsidR="00AE07AD" w:rsidRDefault="00AE07AD" w:rsidP="00AE07AD">
      <w:pPr>
        <w:jc w:val="both"/>
        <w:rPr>
          <w:rFonts w:ascii="Arial" w:eastAsia="Arial" w:hAnsi="Arial" w:cs="Arial"/>
        </w:rPr>
      </w:pPr>
    </w:p>
    <w:p w14:paraId="491A83F6" w14:textId="77777777" w:rsidR="00AE07AD" w:rsidRPr="00AE07AD" w:rsidRDefault="00AE07AD" w:rsidP="005079A2">
      <w:pPr>
        <w:ind w:firstLine="720"/>
        <w:jc w:val="both"/>
        <w:rPr>
          <w:rFonts w:ascii="Arial" w:eastAsia="Arial" w:hAnsi="Arial" w:cs="Arial"/>
        </w:rPr>
      </w:pPr>
      <w:r w:rsidRPr="00AE07AD">
        <w:rPr>
          <w:rFonts w:ascii="Arial" w:eastAsia="Arial" w:hAnsi="Arial" w:cs="Arial"/>
        </w:rPr>
        <w:t xml:space="preserve">As três emendas propostas pelo Legislativo agem como importantes mecanismos de salvaguarda operacional, impedindo que a alteração institucional resulte em hiato de continuidade dos serviços. </w:t>
      </w:r>
    </w:p>
    <w:p w14:paraId="2892E0E7" w14:textId="77777777" w:rsidR="00AE07AD" w:rsidRDefault="00AE07AD" w:rsidP="00AE07AD">
      <w:pPr>
        <w:jc w:val="both"/>
        <w:rPr>
          <w:rFonts w:ascii="Arial" w:eastAsia="Arial" w:hAnsi="Arial" w:cs="Arial"/>
          <w:b/>
          <w:bCs/>
        </w:rPr>
      </w:pPr>
    </w:p>
    <w:p w14:paraId="1945564D" w14:textId="0CD5E421" w:rsidR="00AE07AD" w:rsidRDefault="00AE07AD" w:rsidP="005079A2">
      <w:pPr>
        <w:ind w:firstLine="720"/>
        <w:jc w:val="both"/>
        <w:rPr>
          <w:rFonts w:ascii="Arial" w:eastAsia="Arial" w:hAnsi="Arial" w:cs="Arial"/>
        </w:rPr>
      </w:pPr>
      <w:r w:rsidRPr="00AE07AD">
        <w:rPr>
          <w:rFonts w:ascii="Arial" w:eastAsia="Arial" w:hAnsi="Arial" w:cs="Arial"/>
        </w:rPr>
        <w:t xml:space="preserve">Ao exigir a publicação digitalizada e acessível das atas e deliberações do Conselho Municipal de Transparência e Controle Social, a Emenda Aditiva nº 01 robustece a transparência ativa. Sob o enfoque desta comissão, o controle social depende do acesso facilitado às discussões coletivas. Medida altamente conveniente para a administração pública. </w:t>
      </w:r>
    </w:p>
    <w:p w14:paraId="2749C76A" w14:textId="77777777" w:rsidR="003B67B6" w:rsidRPr="00AE07AD" w:rsidRDefault="003B67B6" w:rsidP="00AE07AD">
      <w:pPr>
        <w:jc w:val="both"/>
        <w:rPr>
          <w:rFonts w:ascii="Arial" w:eastAsia="Arial" w:hAnsi="Arial" w:cs="Arial"/>
        </w:rPr>
      </w:pPr>
    </w:p>
    <w:p w14:paraId="140C8AF6" w14:textId="3B6D77EE" w:rsidR="00AE07AD" w:rsidRPr="00AE07AD" w:rsidRDefault="00AE07AD" w:rsidP="005079A2">
      <w:pPr>
        <w:ind w:firstLine="720"/>
        <w:jc w:val="both"/>
        <w:rPr>
          <w:rFonts w:ascii="Arial" w:eastAsia="Arial" w:hAnsi="Arial" w:cs="Arial"/>
        </w:rPr>
      </w:pPr>
      <w:r w:rsidRPr="00AE07AD">
        <w:rPr>
          <w:rFonts w:ascii="Arial" w:eastAsia="Arial" w:hAnsi="Arial" w:cs="Arial"/>
        </w:rPr>
        <w:t>Mudanças de estrutura orgânica rotineiramente enfrentam entraves burocráticos que podem paralisar canais de atendimento. A fixação de um prazo regulamentar de 60 (sessenta) dias para a transição assistida de acervos, sistemas operacionais e fluxos de trabalho</w:t>
      </w:r>
      <w:r w:rsidR="003B67B6" w:rsidRPr="005079A2">
        <w:rPr>
          <w:rFonts w:ascii="Arial" w:eastAsia="Arial" w:hAnsi="Arial" w:cs="Arial"/>
        </w:rPr>
        <w:t xml:space="preserve">, proposta pela </w:t>
      </w:r>
      <w:r w:rsidR="003B67B6" w:rsidRPr="00AE07AD">
        <w:rPr>
          <w:rFonts w:ascii="Arial" w:eastAsia="Arial" w:hAnsi="Arial" w:cs="Arial"/>
        </w:rPr>
        <w:t>Emenda Aditiva nº 02</w:t>
      </w:r>
      <w:r w:rsidR="003B67B6" w:rsidRPr="005079A2">
        <w:rPr>
          <w:rFonts w:ascii="Arial" w:eastAsia="Arial" w:hAnsi="Arial" w:cs="Arial"/>
        </w:rPr>
        <w:t>,</w:t>
      </w:r>
      <w:r w:rsidRPr="00AE07AD">
        <w:rPr>
          <w:rFonts w:ascii="Arial" w:eastAsia="Arial" w:hAnsi="Arial" w:cs="Arial"/>
        </w:rPr>
        <w:t xml:space="preserve"> confere segurança jurídica e responsabilidade setorial à CGM e à SEPLAG, garantindo a continuidade do serviço público. </w:t>
      </w:r>
    </w:p>
    <w:p w14:paraId="758973D8" w14:textId="77777777" w:rsidR="005079A2" w:rsidRPr="005079A2" w:rsidRDefault="005079A2" w:rsidP="005079A2">
      <w:pPr>
        <w:jc w:val="both"/>
        <w:rPr>
          <w:rFonts w:ascii="Arial" w:eastAsia="Arial" w:hAnsi="Arial" w:cs="Arial"/>
        </w:rPr>
      </w:pPr>
    </w:p>
    <w:p w14:paraId="403BC1AE" w14:textId="3B0D2411" w:rsidR="00AE07AD" w:rsidRPr="00AE07AD" w:rsidRDefault="00AE07AD" w:rsidP="005079A2">
      <w:pPr>
        <w:ind w:firstLine="720"/>
        <w:jc w:val="both"/>
        <w:rPr>
          <w:rFonts w:ascii="Arial" w:eastAsia="Arial" w:hAnsi="Arial" w:cs="Arial"/>
        </w:rPr>
      </w:pPr>
      <w:r w:rsidRPr="00AE07AD">
        <w:rPr>
          <w:rFonts w:ascii="Arial" w:eastAsia="Arial" w:hAnsi="Arial" w:cs="Arial"/>
        </w:rPr>
        <w:t>A imposição legal</w:t>
      </w:r>
      <w:r w:rsidR="005079A2">
        <w:rPr>
          <w:rFonts w:ascii="Arial" w:eastAsia="Arial" w:hAnsi="Arial" w:cs="Arial"/>
        </w:rPr>
        <w:t xml:space="preserve">, proposta pela </w:t>
      </w:r>
      <w:r w:rsidR="005079A2" w:rsidRPr="00AE07AD">
        <w:rPr>
          <w:rFonts w:ascii="Arial" w:eastAsia="Arial" w:hAnsi="Arial" w:cs="Arial"/>
        </w:rPr>
        <w:t>Emenda Aditiva nº 03</w:t>
      </w:r>
      <w:r w:rsidR="005079A2" w:rsidRPr="005079A2">
        <w:rPr>
          <w:rFonts w:ascii="Arial" w:eastAsia="Arial" w:hAnsi="Arial" w:cs="Arial"/>
        </w:rPr>
        <w:t xml:space="preserve"> </w:t>
      </w:r>
      <w:r w:rsidR="005079A2">
        <w:rPr>
          <w:rFonts w:ascii="Arial" w:eastAsia="Arial" w:hAnsi="Arial" w:cs="Arial"/>
        </w:rPr>
        <w:t>,</w:t>
      </w:r>
      <w:r w:rsidRPr="00AE07AD">
        <w:rPr>
          <w:rFonts w:ascii="Arial" w:eastAsia="Arial" w:hAnsi="Arial" w:cs="Arial"/>
        </w:rPr>
        <w:t xml:space="preserve"> para que a CGM publique relatórios estatísticos detalhados contendo o número de pedidos recebidos, deferidos, indeferidos e o tempo médio de resposta eleva o patamar de monitoramento da máquina pública. Dados estatísticos claros permitem diagnosticar quais secretarias apresentam gargalos no cumprimento da LAI, funcionando como um termômetro de eficiência institucional. </w:t>
      </w:r>
    </w:p>
    <w:p w14:paraId="30AF0903" w14:textId="77777777" w:rsidR="005079A2" w:rsidRDefault="005079A2" w:rsidP="00AE07AD">
      <w:pPr>
        <w:jc w:val="both"/>
        <w:rPr>
          <w:rFonts w:ascii="Arial" w:eastAsia="Arial" w:hAnsi="Arial" w:cs="Arial"/>
        </w:rPr>
      </w:pPr>
    </w:p>
    <w:p w14:paraId="4F820089" w14:textId="0324AA89" w:rsidR="00AE07AD" w:rsidRPr="00AE07AD" w:rsidRDefault="00AE07AD" w:rsidP="005079A2">
      <w:pPr>
        <w:ind w:firstLine="720"/>
        <w:jc w:val="both"/>
        <w:rPr>
          <w:rFonts w:ascii="Arial" w:eastAsia="Arial" w:hAnsi="Arial" w:cs="Arial"/>
        </w:rPr>
      </w:pPr>
      <w:r w:rsidRPr="00AE07AD">
        <w:rPr>
          <w:rFonts w:ascii="Arial" w:eastAsia="Arial" w:hAnsi="Arial" w:cs="Arial"/>
        </w:rPr>
        <w:t>Dessa forma, o Projeto de Lei original, somado às contribuições técnicas das emendas parlamentares, formam um microssistema coerente de fortalecimento institucional da transparência em Niterói.</w:t>
      </w:r>
    </w:p>
    <w:p w14:paraId="02CA8401" w14:textId="77777777" w:rsidR="00AE07AD" w:rsidRPr="00AE07AD" w:rsidRDefault="00AE07AD" w:rsidP="00AE07AD">
      <w:pPr>
        <w:jc w:val="both"/>
        <w:rPr>
          <w:rFonts w:ascii="Arial" w:eastAsia="Arial" w:hAnsi="Arial" w:cs="Arial"/>
        </w:rPr>
      </w:pPr>
    </w:p>
    <w:p w14:paraId="60885D4B" w14:textId="77777777" w:rsidR="005079A2" w:rsidRDefault="005079A2" w:rsidP="005079A2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300" w:after="300"/>
        <w:jc w:val="both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t>Conclusão:</w:t>
      </w:r>
    </w:p>
    <w:p w14:paraId="275EA8A3" w14:textId="5EBEC333" w:rsidR="009C3FC3" w:rsidRDefault="005079A2" w:rsidP="005079A2">
      <w:pPr>
        <w:ind w:firstLine="720"/>
        <w:jc w:val="both"/>
        <w:rPr>
          <w:rFonts w:ascii="Arial" w:eastAsia="Arial" w:hAnsi="Arial" w:cs="Arial"/>
        </w:rPr>
      </w:pPr>
      <w:r w:rsidRPr="005079A2">
        <w:rPr>
          <w:rFonts w:ascii="Arial" w:eastAsia="Arial" w:hAnsi="Arial" w:cs="Arial"/>
        </w:rPr>
        <w:lastRenderedPageBreak/>
        <w:t xml:space="preserve">Ante o exposto, esta Comissão Permanente de Administração, Estatística e Servidores Públicos (CAESP), em harmonia com os preceitos de eficiência e otimização dos serviços municipais, manifesta-se com parecer </w:t>
      </w:r>
      <w:r w:rsidRPr="005079A2">
        <w:rPr>
          <w:rFonts w:ascii="Arial" w:eastAsia="Arial" w:hAnsi="Arial" w:cs="Arial"/>
          <w:b/>
          <w:bCs/>
        </w:rPr>
        <w:t>FAVORÁVEL</w:t>
      </w:r>
      <w:r w:rsidRPr="005079A2">
        <w:rPr>
          <w:rFonts w:ascii="Arial" w:eastAsia="Arial" w:hAnsi="Arial" w:cs="Arial"/>
        </w:rPr>
        <w:t xml:space="preserve"> ao Projeto de Lei nº 192/2026, bem como </w:t>
      </w:r>
      <w:r w:rsidRPr="005079A2">
        <w:rPr>
          <w:rFonts w:ascii="Arial" w:eastAsia="Arial" w:hAnsi="Arial" w:cs="Arial"/>
          <w:b/>
          <w:bCs/>
        </w:rPr>
        <w:t>FAVORÁVEL</w:t>
      </w:r>
      <w:r w:rsidRPr="005079A2">
        <w:rPr>
          <w:rFonts w:ascii="Arial" w:eastAsia="Arial" w:hAnsi="Arial" w:cs="Arial"/>
        </w:rPr>
        <w:t xml:space="preserve"> às Emendas Aditivas nº 01, 02 e 03/2026, recomendando o prosseguimento da tramitação e posterior deliberação pelo Plenário desta Egrégia Casa Legislativa.</w:t>
      </w:r>
    </w:p>
    <w:p w14:paraId="757846E2" w14:textId="77777777" w:rsidR="009C3FC3" w:rsidRDefault="009C3FC3">
      <w:pPr>
        <w:rPr>
          <w:rFonts w:ascii="Arial" w:eastAsia="Arial" w:hAnsi="Arial" w:cs="Arial"/>
        </w:rPr>
      </w:pPr>
    </w:p>
    <w:p w14:paraId="22444BDB" w14:textId="77777777" w:rsidR="009C3FC3" w:rsidRDefault="009C3FC3">
      <w:pPr>
        <w:jc w:val="center"/>
        <w:rPr>
          <w:rFonts w:ascii="Arial" w:eastAsia="Arial" w:hAnsi="Arial" w:cs="Arial"/>
        </w:rPr>
      </w:pPr>
    </w:p>
    <w:p w14:paraId="311EDEDC" w14:textId="71BF1EFE" w:rsidR="009C3FC3" w:rsidRDefault="00000000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Niterói, </w:t>
      </w:r>
      <w:r w:rsidR="005079A2">
        <w:rPr>
          <w:rFonts w:ascii="Arial" w:eastAsia="Arial" w:hAnsi="Arial" w:cs="Arial"/>
        </w:rPr>
        <w:t>01</w:t>
      </w:r>
      <w:r>
        <w:rPr>
          <w:rFonts w:ascii="Arial" w:eastAsia="Arial" w:hAnsi="Arial" w:cs="Arial"/>
        </w:rPr>
        <w:t xml:space="preserve"> de </w:t>
      </w:r>
      <w:r w:rsidR="005079A2">
        <w:rPr>
          <w:rFonts w:ascii="Arial" w:eastAsia="Arial" w:hAnsi="Arial" w:cs="Arial"/>
        </w:rPr>
        <w:t>junho</w:t>
      </w:r>
      <w:r>
        <w:rPr>
          <w:rFonts w:ascii="Arial" w:eastAsia="Arial" w:hAnsi="Arial" w:cs="Arial"/>
        </w:rPr>
        <w:t xml:space="preserve"> de 202</w:t>
      </w:r>
      <w:r w:rsidR="00AF5A59">
        <w:rPr>
          <w:rFonts w:ascii="Arial" w:eastAsia="Arial" w:hAnsi="Arial" w:cs="Arial"/>
        </w:rPr>
        <w:t>6</w:t>
      </w:r>
    </w:p>
    <w:p w14:paraId="085870A5" w14:textId="77777777" w:rsidR="009C3FC3" w:rsidRDefault="009C3FC3">
      <w:pPr>
        <w:jc w:val="center"/>
        <w:rPr>
          <w:rFonts w:ascii="Arial" w:eastAsia="Arial" w:hAnsi="Arial" w:cs="Arial"/>
        </w:rPr>
      </w:pPr>
    </w:p>
    <w:p w14:paraId="43E631CC" w14:textId="77777777" w:rsidR="009C3FC3" w:rsidRDefault="009C3FC3">
      <w:pPr>
        <w:rPr>
          <w:rFonts w:ascii="Arial" w:eastAsia="Arial" w:hAnsi="Arial" w:cs="Arial"/>
        </w:rPr>
      </w:pPr>
    </w:p>
    <w:p w14:paraId="7111405D" w14:textId="77777777" w:rsidR="009C3FC3" w:rsidRDefault="009C3FC3">
      <w:pPr>
        <w:rPr>
          <w:rFonts w:ascii="Arial" w:eastAsia="Arial" w:hAnsi="Arial" w:cs="Arial"/>
        </w:rPr>
      </w:pPr>
    </w:p>
    <w:p w14:paraId="3DDF2725" w14:textId="77777777" w:rsidR="009C3FC3" w:rsidRDefault="009C3FC3">
      <w:pPr>
        <w:rPr>
          <w:rFonts w:ascii="Arial" w:eastAsia="Arial" w:hAnsi="Arial" w:cs="Arial"/>
        </w:rPr>
      </w:pPr>
    </w:p>
    <w:p w14:paraId="34ED9DEB" w14:textId="77777777" w:rsidR="009C3FC3" w:rsidRDefault="00000000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PROFESSOR TULIO                                                     ANDERSON PIPICO</w:t>
      </w:r>
    </w:p>
    <w:p w14:paraId="1AD0144B" w14:textId="77777777" w:rsidR="009C3FC3" w:rsidRDefault="00000000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 Presidente e Relator                                                                             Vice-Presidente</w:t>
      </w:r>
    </w:p>
    <w:p w14:paraId="3BA74582" w14:textId="77777777" w:rsidR="009C3FC3" w:rsidRDefault="009C3FC3">
      <w:pPr>
        <w:rPr>
          <w:rFonts w:ascii="Arial" w:eastAsia="Arial" w:hAnsi="Arial" w:cs="Arial"/>
          <w:sz w:val="20"/>
          <w:szCs w:val="20"/>
        </w:rPr>
      </w:pPr>
    </w:p>
    <w:p w14:paraId="1B2251EA" w14:textId="77777777" w:rsidR="009C3FC3" w:rsidRDefault="009C3FC3">
      <w:pPr>
        <w:rPr>
          <w:rFonts w:ascii="Arial" w:eastAsia="Arial" w:hAnsi="Arial" w:cs="Arial"/>
          <w:sz w:val="20"/>
          <w:szCs w:val="20"/>
        </w:rPr>
      </w:pPr>
    </w:p>
    <w:p w14:paraId="0EAD2EA4" w14:textId="77777777" w:rsidR="009C3FC3" w:rsidRDefault="009C3FC3">
      <w:pPr>
        <w:rPr>
          <w:rFonts w:ascii="Arial" w:eastAsia="Arial" w:hAnsi="Arial" w:cs="Arial"/>
          <w:sz w:val="20"/>
          <w:szCs w:val="20"/>
        </w:rPr>
      </w:pPr>
    </w:p>
    <w:p w14:paraId="24E2F8A3" w14:textId="77777777" w:rsidR="009C3FC3" w:rsidRDefault="00000000">
      <w:pP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EMANUEL ROCHA</w:t>
      </w:r>
    </w:p>
    <w:p w14:paraId="32693B64" w14:textId="77777777" w:rsidR="009C3FC3" w:rsidRDefault="00000000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</w:rPr>
        <w:t xml:space="preserve">                      </w:t>
      </w:r>
      <w:r>
        <w:rPr>
          <w:rFonts w:ascii="Arial" w:eastAsia="Arial" w:hAnsi="Arial" w:cs="Arial"/>
        </w:rPr>
        <w:t xml:space="preserve">                                    </w:t>
      </w:r>
      <w:r>
        <w:rPr>
          <w:rFonts w:ascii="Arial" w:eastAsia="Arial" w:hAnsi="Arial" w:cs="Arial"/>
          <w:sz w:val="20"/>
          <w:szCs w:val="20"/>
        </w:rPr>
        <w:t>Membro</w:t>
      </w:r>
    </w:p>
    <w:p w14:paraId="0A182B52" w14:textId="77777777" w:rsidR="009C3FC3" w:rsidRDefault="009C3FC3">
      <w:pPr>
        <w:rPr>
          <w:rFonts w:ascii="Arial" w:eastAsia="Arial" w:hAnsi="Arial" w:cs="Arial"/>
        </w:rPr>
      </w:pPr>
    </w:p>
    <w:p w14:paraId="5C42A0E9" w14:textId="77777777" w:rsidR="009C3FC3" w:rsidRDefault="009C3FC3"/>
    <w:sectPr w:rsidR="009C3FC3">
      <w:headerReference w:type="default" r:id="rId8"/>
      <w:pgSz w:w="11906" w:h="16838"/>
      <w:pgMar w:top="1417" w:right="1701" w:bottom="1417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5CB790" w14:textId="77777777" w:rsidR="00242919" w:rsidRDefault="00242919">
      <w:r>
        <w:separator/>
      </w:r>
    </w:p>
  </w:endnote>
  <w:endnote w:type="continuationSeparator" w:id="0">
    <w:p w14:paraId="72435D1C" w14:textId="77777777" w:rsidR="00242919" w:rsidRDefault="00242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  <w:embedRegular r:id="rId1" w:fontKey="{4E6F63E2-5816-4343-BD99-EEE3619C1319}"/>
    <w:embedItalic r:id="rId2" w:fontKey="{4F34CFC9-0655-407F-AC8F-A64B3FA6B2E1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DA422B03-EA34-4C72-951E-B35245581116}"/>
    <w:embedItalic r:id="rId4" w:fontKey="{63BF8AC4-45DD-4F87-9D69-23A0C99CCEB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5A5A766B-1C0C-408C-9BBB-902E9360A83B}"/>
    <w:embedBold r:id="rId6" w:fontKey="{37987D40-53D2-4189-99A3-B0C948AAB6F2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7" w:fontKey="{AA36EA17-BD2A-4273-BF60-050D64E4FC7A}"/>
    <w:embedBold r:id="rId8" w:fontKey="{61CA49FF-9C32-4CAE-9A04-A241A668EE94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9" w:fontKey="{4C326E77-C38F-4B6E-9CE3-A8C5C82BD25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8D0F78" w14:textId="77777777" w:rsidR="00242919" w:rsidRDefault="00242919">
      <w:r>
        <w:separator/>
      </w:r>
    </w:p>
  </w:footnote>
  <w:footnote w:type="continuationSeparator" w:id="0">
    <w:p w14:paraId="1BC2199E" w14:textId="77777777" w:rsidR="00242919" w:rsidRDefault="002429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BEC86" w14:textId="77777777" w:rsidR="009C3FC3" w:rsidRDefault="009C3FC3">
    <w:pPr>
      <w:tabs>
        <w:tab w:val="center" w:pos="4252"/>
        <w:tab w:val="right" w:pos="8504"/>
      </w:tabs>
      <w:rPr>
        <w:color w:val="000000"/>
      </w:rPr>
    </w:pPr>
  </w:p>
  <w:tbl>
    <w:tblPr>
      <w:tblStyle w:val="a1"/>
      <w:tblW w:w="9957" w:type="dxa"/>
      <w:tblInd w:w="-1127" w:type="dxa"/>
      <w:tblLayout w:type="fixed"/>
      <w:tblLook w:val="0000" w:firstRow="0" w:lastRow="0" w:firstColumn="0" w:lastColumn="0" w:noHBand="0" w:noVBand="0"/>
    </w:tblPr>
    <w:tblGrid>
      <w:gridCol w:w="2544"/>
      <w:gridCol w:w="7413"/>
    </w:tblGrid>
    <w:tr w:rsidR="009C3FC3" w14:paraId="2BD1BB4A" w14:textId="77777777">
      <w:trPr>
        <w:trHeight w:val="1503"/>
      </w:trPr>
      <w:tc>
        <w:tcPr>
          <w:tcW w:w="2544" w:type="dxa"/>
        </w:tcPr>
        <w:p w14:paraId="5DADC63E" w14:textId="77777777" w:rsidR="009C3FC3" w:rsidRDefault="00000000">
          <w:pPr>
            <w:tabs>
              <w:tab w:val="center" w:pos="4252"/>
              <w:tab w:val="right" w:pos="8504"/>
            </w:tabs>
            <w:ind w:right="332"/>
            <w:rPr>
              <w:color w:val="000000"/>
            </w:rPr>
          </w:pPr>
          <w:r>
            <w:rPr>
              <w:noProof/>
            </w:rPr>
            <w:drawing>
              <wp:inline distT="0" distB="0" distL="0" distR="0" wp14:anchorId="007D67F9" wp14:editId="660A6F28">
                <wp:extent cx="952500" cy="1133475"/>
                <wp:effectExtent l="0" t="0" r="0" b="0"/>
                <wp:docPr id="4" name="image1.jpg" descr="Logo CMN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Logo CMN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13" w:type="dxa"/>
        </w:tcPr>
        <w:p w14:paraId="6E9B1236" w14:textId="77777777" w:rsidR="009C3FC3" w:rsidRDefault="009C3FC3">
          <w:pP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  <w:sz w:val="20"/>
              <w:szCs w:val="20"/>
            </w:rPr>
          </w:pPr>
        </w:p>
        <w:p w14:paraId="4E168BB7" w14:textId="77777777" w:rsidR="009C3FC3" w:rsidRDefault="00000000">
          <w:pPr>
            <w:tabs>
              <w:tab w:val="center" w:pos="4252"/>
              <w:tab w:val="right" w:pos="8504"/>
            </w:tabs>
            <w:rPr>
              <w:rFonts w:ascii="Tahoma" w:eastAsia="Tahoma" w:hAnsi="Tahoma" w:cs="Tahoma"/>
              <w:b/>
              <w:color w:val="000000"/>
              <w:sz w:val="40"/>
              <w:szCs w:val="40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 xml:space="preserve"> Câmara Municipal de Niterói</w:t>
          </w:r>
        </w:p>
        <w:p w14:paraId="51FACD1C" w14:textId="77777777" w:rsidR="009C3FC3" w:rsidRDefault="009C3FC3">
          <w:pP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1D9B9F03" w14:textId="77777777" w:rsidR="009C3FC3" w:rsidRDefault="00000000">
          <w:pP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 xml:space="preserve">Comissão </w:t>
          </w:r>
          <w:r>
            <w:rPr>
              <w:rFonts w:ascii="Tahoma" w:eastAsia="Tahoma" w:hAnsi="Tahoma" w:cs="Tahoma"/>
              <w:b/>
              <w:sz w:val="28"/>
              <w:szCs w:val="28"/>
            </w:rPr>
            <w:t>Permanente de Administração, Estatística e Servidores Públicos</w:t>
          </w:r>
        </w:p>
        <w:p w14:paraId="763008E2" w14:textId="77777777" w:rsidR="009C3FC3" w:rsidRDefault="009C3FC3">
          <w:pPr>
            <w:tabs>
              <w:tab w:val="center" w:pos="4252"/>
              <w:tab w:val="right" w:pos="8504"/>
            </w:tabs>
            <w:rPr>
              <w:color w:val="000000"/>
            </w:rPr>
          </w:pPr>
        </w:p>
      </w:tc>
    </w:tr>
  </w:tbl>
  <w:p w14:paraId="280AE305" w14:textId="77777777" w:rsidR="009C3FC3" w:rsidRDefault="009C3FC3">
    <w:pPr>
      <w:tabs>
        <w:tab w:val="center" w:pos="4252"/>
        <w:tab w:val="right" w:pos="8504"/>
      </w:tabs>
      <w:rPr>
        <w:color w:val="000000"/>
      </w:rPr>
    </w:pPr>
  </w:p>
  <w:p w14:paraId="44B40830" w14:textId="77777777" w:rsidR="009C3FC3" w:rsidRDefault="009C3FC3">
    <w:pP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94FBB"/>
    <w:multiLevelType w:val="multilevel"/>
    <w:tmpl w:val="FD74F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8A5A3E"/>
    <w:multiLevelType w:val="multilevel"/>
    <w:tmpl w:val="230C0D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EEA7897"/>
    <w:multiLevelType w:val="multilevel"/>
    <w:tmpl w:val="0D166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89545468">
    <w:abstractNumId w:val="1"/>
  </w:num>
  <w:num w:numId="2" w16cid:durableId="1958371607">
    <w:abstractNumId w:val="2"/>
  </w:num>
  <w:num w:numId="3" w16cid:durableId="18567266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3FC3"/>
    <w:rsid w:val="00242919"/>
    <w:rsid w:val="003B67B6"/>
    <w:rsid w:val="005079A2"/>
    <w:rsid w:val="00587324"/>
    <w:rsid w:val="0077483E"/>
    <w:rsid w:val="009C3FC3"/>
    <w:rsid w:val="00AE07AD"/>
    <w:rsid w:val="00AF5A59"/>
    <w:rsid w:val="00C97680"/>
    <w:rsid w:val="00CF4B99"/>
    <w:rsid w:val="00E67F24"/>
    <w:rsid w:val="00EE2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062A9"/>
  <w15:docId w15:val="{607CB4C0-FA2C-4F7B-8DCA-43B219B0E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1D9E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  <w:rsid w:val="00471D9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2B5E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">
    <w:name w:val="header"/>
    <w:basedOn w:val="Normal"/>
    <w:link w:val="CabealhoChar"/>
    <w:uiPriority w:val="99"/>
    <w:rsid w:val="00471D9E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2B5E73"/>
    <w:pPr>
      <w:tabs>
        <w:tab w:val="center" w:pos="4252"/>
        <w:tab w:val="right" w:pos="8504"/>
      </w:tabs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unhideWhenUsed/>
    <w:qFormat/>
    <w:rsid w:val="009B655D"/>
    <w:pPr>
      <w:spacing w:beforeAutospacing="1" w:afterAutospacing="1"/>
    </w:p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4pfeyYucCrt0/tsAdghsY8J8sg==">CgMxLjA4AHIhMVhNTDhRd1h4TmF6U0FlYWZiZ001QkFKNHRkMUVaRE5a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1013</Words>
  <Characters>5471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Professor Tulio</dc:creator>
  <cp:lastModifiedBy>Vereador Professor Túlio</cp:lastModifiedBy>
  <cp:revision>6</cp:revision>
  <dcterms:created xsi:type="dcterms:W3CDTF">2026-06-01T19:07:00Z</dcterms:created>
  <dcterms:modified xsi:type="dcterms:W3CDTF">2026-06-01T19:09:00Z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lpwstr>0</vt:lpwstr>
  </property>
  <property fmtid="{D5CDD505-2E9C-101B-9397-08002B2CF9AE}" pid="4" name="HyperlinksChanged">
    <vt:lpwstr>false</vt:lpwstr>
  </property>
  <property fmtid="{D5CDD505-2E9C-101B-9397-08002B2CF9AE}" pid="5" name="LinksUpToDate">
    <vt:lpwstr>false</vt:lpwstr>
  </property>
  <property fmtid="{D5CDD505-2E9C-101B-9397-08002B2CF9AE}" pid="6" name="ScaleCrop">
    <vt:lpwstr>false</vt:lpwstr>
  </property>
  <property fmtid="{D5CDD505-2E9C-101B-9397-08002B2CF9AE}" pid="7" name="ShareDoc">
    <vt:lpwstr>false</vt:lpwstr>
  </property>
</Properties>
</file>