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455A21FB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3902CA5C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F76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200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0A7C093B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RODRIGO NEVES – PREFEI</w:t>
            </w:r>
            <w:r w:rsidR="00D40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5A694467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CF7606">
              <w:rPr>
                <w:rFonts w:ascii="Ebrima" w:hAnsi="Ebrima" w:cs="Arial"/>
                <w:bCs/>
                <w:sz w:val="22"/>
                <w:szCs w:val="22"/>
                <w:lang w:val="en-US"/>
              </w:rPr>
              <w:t>AUTORIZA A CONCESSÃO PARCIAL DE REMISSÃO E ANISTIA DE IPTU E TCIL CONSTITUÍDO EM FACE DOS IMÓVEIS BENEFICIADOS DO PROGRAMA MINHA CASA MINHA VIDA – FAIXA URBANO 1</w:t>
            </w:r>
            <w:r w:rsidR="006B5E66" w:rsidRPr="006B5E66">
              <w:rPr>
                <w:rFonts w:asciiTheme="minorHAnsi" w:hAnsiTheme="minorHAnsi" w:cstheme="minorHAnsi"/>
                <w:b/>
                <w:bCs/>
                <w:smallCaps/>
              </w:rPr>
              <w:t>.</w:t>
            </w:r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59C848FE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Trata-se de Projeto de Lei encaminhado pelo Chefe do Poder Executivo Municipal, por meio da Mensagem Executiva nº 15/2026, que autoriza o Secretário Municipal de Fazenda a conceder remissão e anistia de créditos tributários relativos ao Imposto Predial e Territorial Urbano – IPTU e à Taxa de Coleta Imobiliária de Lixo – TCIL incidentes sobre imóveis integrantes do Programa Minha Casa Minha Vida – Faixa Urbano 1. </w:t>
      </w:r>
    </w:p>
    <w:p w14:paraId="73A5193A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proposta prevê a concessão de benefício fiscal abrangendo créditos tributários constituídos ou não, inscritos ou não em dívida ativa, inclusive </w:t>
      </w:r>
      <w:proofErr w:type="gramStart"/>
      <w:r w:rsidRPr="00CF7606">
        <w:rPr>
          <w:rFonts w:asciiTheme="minorHAnsi" w:hAnsiTheme="minorHAnsi" w:cstheme="minorHAnsi"/>
          <w:color w:val="000000"/>
          <w:sz w:val="22"/>
          <w:szCs w:val="22"/>
        </w:rPr>
        <w:t>aqueles objeto</w:t>
      </w:r>
      <w:proofErr w:type="gramEnd"/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 de execução fiscal, relativos a fatos geradores ocorridos até 1º de janeiro de 2026. </w:t>
      </w:r>
    </w:p>
    <w:p w14:paraId="1FC5C7EC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Consta dos autos estimativa de impacto orçamentário-financeiro elaborada em conformidade com o art. 14 da Lei Complementar Federal nº 101/2000 – Lei de Responsabilidade Fiscal –, bem como com o art. 113 do Ato das Disposições Constitucionais Transitórias da Constituição Federal. </w:t>
      </w:r>
    </w:p>
    <w:p w14:paraId="35F4C1D3" w14:textId="73C4B17F" w:rsidR="00BF420B" w:rsidRPr="00503E1C" w:rsidRDefault="00BF420B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01664032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Compete a esta Comissão Permanente de Fiscalização Financeira, Controle e Orçamento apreciar matérias com repercussão orçamentária, financeira, tributária e patrimonial no âmbito municipal.</w:t>
      </w:r>
    </w:p>
    <w:p w14:paraId="4AB9661A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Da análise da presente proposição, verifica-se que a matéria possui inequívoco interesse social e finalidade pública relevante, voltada à promoção do direito fundamental à moradia e à </w:t>
      </w:r>
      <w:r w:rsidRPr="00CF7606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concretização da função social da propriedade, previstos nos </w:t>
      </w:r>
      <w:proofErr w:type="spellStart"/>
      <w:r w:rsidRPr="00CF7606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. 6º e 5º, XXIII, da Constituição Federal. </w:t>
      </w:r>
    </w:p>
    <w:p w14:paraId="458EC62B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A iniciativa também encontra amparo no art. 172 do Código Tributário Nacional, que autoriza a concessão de remissão tributária considerando, dentre outros fatores:</w:t>
      </w:r>
    </w:p>
    <w:p w14:paraId="115532F2" w14:textId="77777777" w:rsidR="00CF7606" w:rsidRPr="00CF7606" w:rsidRDefault="00CF7606" w:rsidP="00CF7606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situação econômica do sujeito passivo; </w:t>
      </w:r>
    </w:p>
    <w:p w14:paraId="0C9020CB" w14:textId="77777777" w:rsidR="00CF7606" w:rsidRPr="00CF7606" w:rsidRDefault="00CF7606" w:rsidP="00CF7606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diminuta importância do crédito tributário; </w:t>
      </w:r>
    </w:p>
    <w:p w14:paraId="1046CC0A" w14:textId="77777777" w:rsidR="00CF7606" w:rsidRPr="00CF7606" w:rsidRDefault="00CF7606" w:rsidP="00CF7606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razões de equidade e justiça fiscal. </w:t>
      </w:r>
    </w:p>
    <w:p w14:paraId="070E4945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Observa-se que o projeto delimita objetivamente o alcance do benefício fiscal, restringindo-o exclusivamente aos imóveis vinculados ao Programa Minha Casa Minha Vida – Faixa Urbano 1, destinado à população de baixa renda, conforme legislação federal pertinente. </w:t>
      </w:r>
    </w:p>
    <w:p w14:paraId="4A1D80EE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O projeto ainda estabelece condicionantes e salvaguardas fiscais relevantes, dentre as quais:</w:t>
      </w:r>
    </w:p>
    <w:p w14:paraId="68E81262" w14:textId="77777777" w:rsidR="00CF7606" w:rsidRPr="00CF7606" w:rsidRDefault="00CF7606" w:rsidP="00CF7606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exigência de confissão expressa dos débitos tributários; </w:t>
      </w:r>
    </w:p>
    <w:p w14:paraId="2A163755" w14:textId="77777777" w:rsidR="00CF7606" w:rsidRPr="00CF7606" w:rsidRDefault="00CF7606" w:rsidP="00CF7606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renúncia a impugnações administrativas e ações judiciais; </w:t>
      </w:r>
    </w:p>
    <w:p w14:paraId="315589C7" w14:textId="77777777" w:rsidR="00CF7606" w:rsidRPr="00CF7606" w:rsidRDefault="00CF7606" w:rsidP="00CF7606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exclusão de restituição de valores já pagos; </w:t>
      </w:r>
    </w:p>
    <w:p w14:paraId="39935F3A" w14:textId="77777777" w:rsidR="00CF7606" w:rsidRPr="00CF7606" w:rsidRDefault="00CF7606" w:rsidP="00CF7606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possibilidade de cancelamento do benefício em caso de irregularidade; </w:t>
      </w:r>
    </w:p>
    <w:p w14:paraId="65B8F5EE" w14:textId="77777777" w:rsidR="00CF7606" w:rsidRPr="00CF7606" w:rsidRDefault="00CF7606" w:rsidP="00CF7606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manutenção da cobrança de custas judiciais e demais ônus processuais</w:t>
      </w:r>
    </w:p>
    <w:p w14:paraId="7448F9A4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O estudo técnico informa que o benefício alcançará 347 imóveis integrantes do Programa Minha Casa Minha Vida – Faixa Urbano 1. </w:t>
      </w:r>
    </w:p>
    <w:p w14:paraId="2E9DEC89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Consta, ainda, demonstração expressa de que a renúncia de receita representa menos de 0,15% da estimativa anual de arrecadação do IPTU para o exercício de 2026, não comprometendo as metas fiscais previstas na Lei de Diretrizes Orçamentárias. </w:t>
      </w:r>
    </w:p>
    <w:p w14:paraId="7B88033B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Nesse sentido, resta evidenciado o atendimento ao art. 14 da Lei de Responsabilidade Fiscal, haja vista:</w:t>
      </w:r>
    </w:p>
    <w:p w14:paraId="2BF0E8DE" w14:textId="77777777" w:rsidR="00CF7606" w:rsidRPr="00CF7606" w:rsidRDefault="00CF7606" w:rsidP="00CF7606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apresentação de estimativa de impacto financeiro; </w:t>
      </w:r>
    </w:p>
    <w:p w14:paraId="54225EFE" w14:textId="77777777" w:rsidR="00CF7606" w:rsidRPr="00CF7606" w:rsidRDefault="00CF7606" w:rsidP="00CF7606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demonstração da irrelevância fiscal relativa da renúncia; </w:t>
      </w:r>
    </w:p>
    <w:p w14:paraId="45A32804" w14:textId="77777777" w:rsidR="00CF7606" w:rsidRPr="00CF7606" w:rsidRDefault="00CF7606" w:rsidP="00CF7606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compatibilidade com as metas fiscais da LDO; </w:t>
      </w:r>
    </w:p>
    <w:p w14:paraId="1F42F0F4" w14:textId="77777777" w:rsidR="00CF7606" w:rsidRPr="00CF7606" w:rsidRDefault="00CF7606" w:rsidP="00CF7606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recomendação de adequação futura das estimativas da LOA. </w:t>
      </w:r>
    </w:p>
    <w:p w14:paraId="66228FC3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Ademais, o estudo técnico explicita que a medida possui como resultado esperado a promoção da justiça social, redução das desigualdades e diminuição dos custos habitacionais da população de baixa renda. </w:t>
      </w:r>
    </w:p>
    <w:p w14:paraId="56F224D9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pict w14:anchorId="3C250BF8">
          <v:rect id="_x0000_i1031" style="width:0;height:1.5pt" o:hralign="center" o:hrstd="t" o:hr="t" fillcolor="#a0a0a0" stroked="f"/>
        </w:pict>
      </w:r>
    </w:p>
    <w:p w14:paraId="227C8016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III – JURISPRUDÊNCIA DAS CORTES DE CONTAS</w:t>
      </w:r>
    </w:p>
    <w:p w14:paraId="1D4A8B02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O Tribunal de Contas da União – TCU possui entendimento consolidado no sentido de que benefícios tributários e renúncias fiscais são juridicamente admissíveis quando:</w:t>
      </w:r>
    </w:p>
    <w:p w14:paraId="4FC39C59" w14:textId="77777777" w:rsidR="00CF7606" w:rsidRPr="00CF7606" w:rsidRDefault="00CF7606" w:rsidP="00CF7606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instituídos por lei específica; </w:t>
      </w:r>
    </w:p>
    <w:p w14:paraId="1E51ED42" w14:textId="77777777" w:rsidR="00CF7606" w:rsidRPr="00CF7606" w:rsidRDefault="00CF7606" w:rsidP="00CF7606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acompanhados de estimativa de impacto orçamentário-financeiro; </w:t>
      </w:r>
    </w:p>
    <w:p w14:paraId="4807B82B" w14:textId="77777777" w:rsidR="00CF7606" w:rsidRPr="00CF7606" w:rsidRDefault="00CF7606" w:rsidP="00CF7606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compatíveis com as metas fiscais; </w:t>
      </w:r>
    </w:p>
    <w:p w14:paraId="6B31367D" w14:textId="77777777" w:rsidR="00CF7606" w:rsidRPr="00CF7606" w:rsidRDefault="00CF7606" w:rsidP="00CF7606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motivados por relevante interesse público; </w:t>
      </w:r>
    </w:p>
    <w:p w14:paraId="5A0456B0" w14:textId="77777777" w:rsidR="00CF7606" w:rsidRPr="00CF7606" w:rsidRDefault="00CF7606" w:rsidP="00CF7606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observados os parâmetros do art. 14 da Lei Complementar nº 101/2000. </w:t>
      </w:r>
    </w:p>
    <w:p w14:paraId="737E92BF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No mesmo sentido, o Tribunal de Contas do Estado do Rio de Janeiro – TCE-RJ tem reiteradamente assentado que programas de remissão tributária voltados à população em situação de vulnerabilidade social podem ser implementados pelos municípios, desde que observados:</w:t>
      </w:r>
    </w:p>
    <w:p w14:paraId="59D0B068" w14:textId="77777777" w:rsidR="00CF7606" w:rsidRPr="00CF7606" w:rsidRDefault="00CF7606" w:rsidP="00CF7606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os princípios da legalidade e transparência fiscal; </w:t>
      </w:r>
    </w:p>
    <w:p w14:paraId="360C6BE9" w14:textId="77777777" w:rsidR="00CF7606" w:rsidRPr="00CF7606" w:rsidRDefault="00CF7606" w:rsidP="00CF7606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demonstração do impacto financeiro; </w:t>
      </w:r>
    </w:p>
    <w:p w14:paraId="1594933A" w14:textId="77777777" w:rsidR="00CF7606" w:rsidRPr="00CF7606" w:rsidRDefault="00CF7606" w:rsidP="00CF7606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compatibilidade com o planejamento orçamentário; </w:t>
      </w:r>
    </w:p>
    <w:p w14:paraId="7FE0D9C7" w14:textId="77777777" w:rsidR="00CF7606" w:rsidRPr="00CF7606" w:rsidRDefault="00CF7606" w:rsidP="00CF7606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 preservação do equilíbrio das contas públicas. </w:t>
      </w:r>
    </w:p>
    <w:p w14:paraId="700FB2F5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No caso concreto, verifica-se que a proposição atende aos requisitos fixados pelas Cortes de Contas, especialmente por limitar a abrangência subjetiva do benefício, apresentar estimativa técnica fundamentada e demonstrar baixo impacto proporcional sobre a arrecadação municipal. </w:t>
      </w:r>
    </w:p>
    <w:p w14:paraId="25515106" w14:textId="77777777" w:rsidR="00CF7606" w:rsidRPr="00CF7606" w:rsidRDefault="00CF7606" w:rsidP="00CF760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Também merece destaque o fato de que o projeto contribui para a regularização fiscal e patrimonial de famílias beneficiárias de política habitacional de interesse social, fortalecendo o princípio constitucional da dignidade da pessoa humana e da justiça tributária.</w:t>
      </w:r>
    </w:p>
    <w:p w14:paraId="6C870AEA" w14:textId="5BDA4441" w:rsidR="006B1C02" w:rsidRPr="00503E1C" w:rsidRDefault="006B1C0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23C38E94" w14:textId="77777777" w:rsidR="00CF7606" w:rsidRPr="00CF7606" w:rsidRDefault="00CF7606" w:rsidP="00CF760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>Diante do exposto, esta Comissão Permanente de Fiscalização Financeira, Controle e Orçamento conclui que o presente Projeto de Lei:</w:t>
      </w:r>
    </w:p>
    <w:p w14:paraId="204182A2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atende relevante interesse público e social; </w:t>
      </w:r>
    </w:p>
    <w:p w14:paraId="0C3D438B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encontra respaldo no Código Tributário Nacional e na Constituição Federal; </w:t>
      </w:r>
    </w:p>
    <w:p w14:paraId="2554D1F0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observa os requisitos do art. 14 da Lei de Responsabilidade Fiscal; </w:t>
      </w:r>
    </w:p>
    <w:p w14:paraId="42069EA2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apresenta estimativa de impacto orçamentário-financeiro adequada; </w:t>
      </w:r>
    </w:p>
    <w:p w14:paraId="13007A68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não compromete as metas fiscais do Município; </w:t>
      </w:r>
    </w:p>
    <w:p w14:paraId="14649B2F" w14:textId="77777777" w:rsidR="00CF7606" w:rsidRPr="00CF7606" w:rsidRDefault="00CF7606" w:rsidP="00CF7606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encontra consonância com a jurisprudência do TCU e do TCE-RJ acerca da concessão de benefícios tributários de interesse social. </w:t>
      </w:r>
    </w:p>
    <w:p w14:paraId="72A224C6" w14:textId="77777777" w:rsidR="00CF7606" w:rsidRPr="00CF7606" w:rsidRDefault="00CF7606" w:rsidP="00CF760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Assim, esta Comissão emite </w:t>
      </w:r>
      <w:r w:rsidRPr="00CF7606">
        <w:rPr>
          <w:rFonts w:asciiTheme="minorHAnsi" w:hAnsiTheme="minorHAnsi" w:cstheme="minorHAnsi"/>
          <w:b/>
          <w:bCs/>
          <w:color w:val="000000"/>
          <w:sz w:val="22"/>
          <w:szCs w:val="22"/>
        </w:rPr>
        <w:t>PARECER FAVORÁVEL</w:t>
      </w:r>
      <w:r w:rsidRPr="00CF7606">
        <w:rPr>
          <w:rFonts w:asciiTheme="minorHAnsi" w:hAnsiTheme="minorHAnsi" w:cstheme="minorHAnsi"/>
          <w:color w:val="000000"/>
          <w:sz w:val="22"/>
          <w:szCs w:val="22"/>
        </w:rPr>
        <w:t xml:space="preserve"> à tramitação e aprovação do Projeto de Lei que autoriza a concessão de remissão e anistia de IPTU e TCIL relativos aos imóveis integrantes do Programa Minha Casa Minha Vida – Faixa Urbano 1.</w:t>
      </w:r>
    </w:p>
    <w:p w14:paraId="70DABF04" w14:textId="3542AB06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5E7FE129" w14:textId="1C3FA274" w:rsidR="00126B24" w:rsidRPr="00503E1C" w:rsidRDefault="00126B24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3AD98" w14:textId="77777777" w:rsidR="00BC4A17" w:rsidRDefault="00BC4A17">
      <w:r>
        <w:separator/>
      </w:r>
    </w:p>
  </w:endnote>
  <w:endnote w:type="continuationSeparator" w:id="0">
    <w:p w14:paraId="52A62B32" w14:textId="77777777" w:rsidR="00BC4A17" w:rsidRDefault="00BC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20482" w14:textId="77777777" w:rsidR="00BC4A17" w:rsidRDefault="00BC4A17">
      <w:r>
        <w:separator/>
      </w:r>
    </w:p>
  </w:footnote>
  <w:footnote w:type="continuationSeparator" w:id="0">
    <w:p w14:paraId="0767F801" w14:textId="77777777" w:rsidR="00BC4A17" w:rsidRDefault="00BC4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E78E7"/>
    <w:multiLevelType w:val="multilevel"/>
    <w:tmpl w:val="FB6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144DC6"/>
    <w:multiLevelType w:val="multilevel"/>
    <w:tmpl w:val="D152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13D0C"/>
    <w:multiLevelType w:val="multilevel"/>
    <w:tmpl w:val="8150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1C1BCD"/>
    <w:multiLevelType w:val="multilevel"/>
    <w:tmpl w:val="7E3EB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3375FA"/>
    <w:multiLevelType w:val="multilevel"/>
    <w:tmpl w:val="ACBC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D53BF5"/>
    <w:multiLevelType w:val="multilevel"/>
    <w:tmpl w:val="B15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2B08F0"/>
    <w:multiLevelType w:val="multilevel"/>
    <w:tmpl w:val="1D325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434C3E"/>
    <w:multiLevelType w:val="multilevel"/>
    <w:tmpl w:val="35F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BF57425"/>
    <w:multiLevelType w:val="multilevel"/>
    <w:tmpl w:val="13E0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54067A"/>
    <w:multiLevelType w:val="multilevel"/>
    <w:tmpl w:val="4B0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7F1632"/>
    <w:multiLevelType w:val="multilevel"/>
    <w:tmpl w:val="62C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91810B2"/>
    <w:multiLevelType w:val="multilevel"/>
    <w:tmpl w:val="5C76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48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47"/>
    <w:lvlOverride w:ilvl="0">
      <w:startOverride w:val="1"/>
    </w:lvlOverride>
  </w:num>
  <w:num w:numId="2" w16cid:durableId="1954818871">
    <w:abstractNumId w:val="19"/>
  </w:num>
  <w:num w:numId="3" w16cid:durableId="1168128929">
    <w:abstractNumId w:val="1"/>
  </w:num>
  <w:num w:numId="4" w16cid:durableId="6757552">
    <w:abstractNumId w:val="17"/>
  </w:num>
  <w:num w:numId="5" w16cid:durableId="868646899">
    <w:abstractNumId w:val="33"/>
  </w:num>
  <w:num w:numId="6" w16cid:durableId="932317578">
    <w:abstractNumId w:val="39"/>
  </w:num>
  <w:num w:numId="7" w16cid:durableId="1335571030">
    <w:abstractNumId w:val="14"/>
  </w:num>
  <w:num w:numId="8" w16cid:durableId="2034384524">
    <w:abstractNumId w:val="38"/>
  </w:num>
  <w:num w:numId="9" w16cid:durableId="1894193981">
    <w:abstractNumId w:val="31"/>
  </w:num>
  <w:num w:numId="10" w16cid:durableId="1874343805">
    <w:abstractNumId w:val="18"/>
  </w:num>
  <w:num w:numId="11" w16cid:durableId="1594242660">
    <w:abstractNumId w:val="13"/>
  </w:num>
  <w:num w:numId="12" w16cid:durableId="339624392">
    <w:abstractNumId w:val="42"/>
  </w:num>
  <w:num w:numId="13" w16cid:durableId="1555462161">
    <w:abstractNumId w:val="34"/>
  </w:num>
  <w:num w:numId="14" w16cid:durableId="1129545389">
    <w:abstractNumId w:val="49"/>
  </w:num>
  <w:num w:numId="15" w16cid:durableId="623579353">
    <w:abstractNumId w:val="4"/>
  </w:num>
  <w:num w:numId="16" w16cid:durableId="1188913397">
    <w:abstractNumId w:val="3"/>
  </w:num>
  <w:num w:numId="17" w16cid:durableId="434835096">
    <w:abstractNumId w:val="35"/>
  </w:num>
  <w:num w:numId="18" w16cid:durableId="756555755">
    <w:abstractNumId w:val="10"/>
  </w:num>
  <w:num w:numId="19" w16cid:durableId="1197281664">
    <w:abstractNumId w:val="20"/>
  </w:num>
  <w:num w:numId="20" w16cid:durableId="1353801066">
    <w:abstractNumId w:val="27"/>
  </w:num>
  <w:num w:numId="21" w16cid:durableId="1551570257">
    <w:abstractNumId w:val="44"/>
  </w:num>
  <w:num w:numId="22" w16cid:durableId="2020883648">
    <w:abstractNumId w:val="23"/>
  </w:num>
  <w:num w:numId="23" w16cid:durableId="1171529419">
    <w:abstractNumId w:val="12"/>
  </w:num>
  <w:num w:numId="24" w16cid:durableId="325673274">
    <w:abstractNumId w:val="46"/>
  </w:num>
  <w:num w:numId="25" w16cid:durableId="730884091">
    <w:abstractNumId w:val="28"/>
  </w:num>
  <w:num w:numId="26" w16cid:durableId="1874422839">
    <w:abstractNumId w:val="8"/>
  </w:num>
  <w:num w:numId="27" w16cid:durableId="17508081">
    <w:abstractNumId w:val="16"/>
  </w:num>
  <w:num w:numId="28" w16cid:durableId="1951207119">
    <w:abstractNumId w:val="21"/>
  </w:num>
  <w:num w:numId="29" w16cid:durableId="16081821">
    <w:abstractNumId w:val="48"/>
  </w:num>
  <w:num w:numId="30" w16cid:durableId="1766726380">
    <w:abstractNumId w:val="32"/>
  </w:num>
  <w:num w:numId="31" w16cid:durableId="1853567280">
    <w:abstractNumId w:val="45"/>
  </w:num>
  <w:num w:numId="32" w16cid:durableId="1193029359">
    <w:abstractNumId w:val="0"/>
  </w:num>
  <w:num w:numId="33" w16cid:durableId="1294947486">
    <w:abstractNumId w:val="2"/>
  </w:num>
  <w:num w:numId="34" w16cid:durableId="17508645">
    <w:abstractNumId w:val="41"/>
  </w:num>
  <w:num w:numId="35" w16cid:durableId="934748885">
    <w:abstractNumId w:val="40"/>
  </w:num>
  <w:num w:numId="36" w16cid:durableId="591397990">
    <w:abstractNumId w:val="7"/>
  </w:num>
  <w:num w:numId="37" w16cid:durableId="2023893592">
    <w:abstractNumId w:val="50"/>
  </w:num>
  <w:num w:numId="38" w16cid:durableId="1557430182">
    <w:abstractNumId w:val="15"/>
  </w:num>
  <w:num w:numId="39" w16cid:durableId="1552955290">
    <w:abstractNumId w:val="30"/>
  </w:num>
  <w:num w:numId="40" w16cid:durableId="423190977">
    <w:abstractNumId w:val="5"/>
  </w:num>
  <w:num w:numId="41" w16cid:durableId="1737971749">
    <w:abstractNumId w:val="24"/>
  </w:num>
  <w:num w:numId="42" w16cid:durableId="2105421184">
    <w:abstractNumId w:val="36"/>
  </w:num>
  <w:num w:numId="43" w16cid:durableId="1120294833">
    <w:abstractNumId w:val="26"/>
  </w:num>
  <w:num w:numId="44" w16cid:durableId="811796060">
    <w:abstractNumId w:val="37"/>
  </w:num>
  <w:num w:numId="45" w16cid:durableId="439957461">
    <w:abstractNumId w:val="22"/>
  </w:num>
  <w:num w:numId="46" w16cid:durableId="234975106">
    <w:abstractNumId w:val="43"/>
  </w:num>
  <w:num w:numId="47" w16cid:durableId="224682704">
    <w:abstractNumId w:val="6"/>
  </w:num>
  <w:num w:numId="48" w16cid:durableId="1549143624">
    <w:abstractNumId w:val="29"/>
  </w:num>
  <w:num w:numId="49" w16cid:durableId="1118837122">
    <w:abstractNumId w:val="9"/>
  </w:num>
  <w:num w:numId="50" w16cid:durableId="1438254418">
    <w:abstractNumId w:val="25"/>
  </w:num>
  <w:num w:numId="51" w16cid:durableId="13298715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10DF8"/>
    <w:rsid w:val="0032114E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77F50"/>
    <w:rsid w:val="00590970"/>
    <w:rsid w:val="0059651F"/>
    <w:rsid w:val="005B4505"/>
    <w:rsid w:val="005E56F1"/>
    <w:rsid w:val="005E7765"/>
    <w:rsid w:val="005F77C3"/>
    <w:rsid w:val="00623E13"/>
    <w:rsid w:val="006348E3"/>
    <w:rsid w:val="00643EF6"/>
    <w:rsid w:val="006518C5"/>
    <w:rsid w:val="00661F2F"/>
    <w:rsid w:val="00670ED9"/>
    <w:rsid w:val="006A1F93"/>
    <w:rsid w:val="006A6B5A"/>
    <w:rsid w:val="006B1C02"/>
    <w:rsid w:val="006B5E66"/>
    <w:rsid w:val="006D34F7"/>
    <w:rsid w:val="006D6FE0"/>
    <w:rsid w:val="006D7ECE"/>
    <w:rsid w:val="006E50AB"/>
    <w:rsid w:val="006F6FD2"/>
    <w:rsid w:val="007029BC"/>
    <w:rsid w:val="007030E6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242D"/>
    <w:rsid w:val="009D53A8"/>
    <w:rsid w:val="009D71B8"/>
    <w:rsid w:val="009E1547"/>
    <w:rsid w:val="009E2B8E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56AC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4A17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CF7606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4</Pages>
  <Words>948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2026-04-29T15:35:00Z</cp:lastPrinted>
  <dcterms:created xsi:type="dcterms:W3CDTF">2026-05-27T12:47:00Z</dcterms:created>
  <dcterms:modified xsi:type="dcterms:W3CDTF">2026-05-27T12:47:00Z</dcterms:modified>
</cp:coreProperties>
</file>