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C141A" w14:textId="77777777" w:rsidR="005D7066" w:rsidRDefault="005D7066" w:rsidP="005D7066">
      <w:pPr>
        <w:spacing w:after="360" w:line="259" w:lineRule="auto"/>
        <w:jc w:val="both"/>
        <w:rPr>
          <w:rFonts w:ascii="Times New Roman" w:hAnsi="Times New Roman" w:cs="Times New Roman"/>
          <w:b/>
          <w:sz w:val="24"/>
          <w:szCs w:val="24"/>
        </w:rPr>
      </w:pPr>
      <w:r w:rsidRPr="005D7066">
        <w:rPr>
          <w:rFonts w:ascii="Times New Roman" w:hAnsi="Times New Roman" w:cs="Times New Roman"/>
          <w:b/>
          <w:sz w:val="24"/>
          <w:szCs w:val="24"/>
        </w:rPr>
        <w:t>PARECER FAVORÁVEL COM RESSALVAS – COMISSÃO PERMANENTE DE DEFESA DO CONSUMIDOR E DIREITOS DO CONTRIBUINTE</w:t>
      </w:r>
    </w:p>
    <w:p w14:paraId="0DEC2A40" w14:textId="77777777" w:rsidR="005D7066" w:rsidRPr="005D7066" w:rsidRDefault="005D7066" w:rsidP="005D7066">
      <w:pPr>
        <w:spacing w:after="3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PROJETO DE LEI Nº 193/2026</w:t>
      </w:r>
    </w:p>
    <w:p w14:paraId="381D9605" w14:textId="77777777" w:rsidR="005D7066" w:rsidRPr="005D7066" w:rsidRDefault="005D7066" w:rsidP="005D7066">
      <w:pPr>
        <w:spacing w:after="8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AUTOR: PODER EXECUTIVO</w:t>
      </w:r>
    </w:p>
    <w:p w14:paraId="6210FD34" w14:textId="77777777" w:rsidR="005D7066" w:rsidRPr="005D7066" w:rsidRDefault="005D7066" w:rsidP="005D7066">
      <w:pPr>
        <w:spacing w:after="3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 xml:space="preserve">EMENTA: </w:t>
      </w:r>
      <w:r w:rsidRPr="005D7066">
        <w:rPr>
          <w:rFonts w:ascii="Times New Roman" w:eastAsia="Times New Roman" w:hAnsi="Times New Roman" w:cs="Times New Roman"/>
          <w:sz w:val="24"/>
          <w:szCs w:val="24"/>
        </w:rPr>
        <w:t xml:space="preserve">Dispõe sobre a criação do Benefício Eventual de Auxílio-Translado para cidadãos do Município de Niterói falecidos no exterior em </w:t>
      </w:r>
      <w:proofErr w:type="gramStart"/>
      <w:r w:rsidRPr="005D7066">
        <w:rPr>
          <w:rFonts w:ascii="Times New Roman" w:eastAsia="Times New Roman" w:hAnsi="Times New Roman" w:cs="Times New Roman"/>
          <w:sz w:val="24"/>
          <w:szCs w:val="24"/>
        </w:rPr>
        <w:t>situações de emergência</w:t>
      </w:r>
      <w:proofErr w:type="gramEnd"/>
      <w:r w:rsidRPr="005D7066">
        <w:rPr>
          <w:rFonts w:ascii="Times New Roman" w:eastAsia="Times New Roman" w:hAnsi="Times New Roman" w:cs="Times New Roman"/>
          <w:sz w:val="24"/>
          <w:szCs w:val="24"/>
        </w:rPr>
        <w:t>, desastre ou tragédia.</w:t>
      </w:r>
    </w:p>
    <w:p w14:paraId="40CEA75B"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RELATÓRIO</w:t>
      </w:r>
    </w:p>
    <w:p w14:paraId="52F72460"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 xml:space="preserve">Trata-se de Projeto de Lei de iniciativa do Poder Executivo que pretende instituir benefício eventual de Auxílio-Translado para custeio do translado de corpo ou envio de cinzas ao Brasil, nos casos de cidadãos do Município de Niterói falecidos no exterior em </w:t>
      </w:r>
      <w:proofErr w:type="gramStart"/>
      <w:r w:rsidRPr="005D7066">
        <w:rPr>
          <w:rFonts w:ascii="Times New Roman" w:eastAsia="Times New Roman" w:hAnsi="Times New Roman" w:cs="Times New Roman"/>
          <w:sz w:val="24"/>
          <w:szCs w:val="24"/>
        </w:rPr>
        <w:t>situações de emergência</w:t>
      </w:r>
      <w:proofErr w:type="gramEnd"/>
      <w:r w:rsidRPr="005D7066">
        <w:rPr>
          <w:rFonts w:ascii="Times New Roman" w:eastAsia="Times New Roman" w:hAnsi="Times New Roman" w:cs="Times New Roman"/>
          <w:sz w:val="24"/>
          <w:szCs w:val="24"/>
        </w:rPr>
        <w:t>, desastre ou tragédia.</w:t>
      </w:r>
    </w:p>
    <w:p w14:paraId="6E3B5A4D"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A proposição prevê que o benefício será concedido mediante autorização do Chefe do Poder Executivo Municipal, em caráter excepcional e motivado, quando houver comprovação de incapacidade financeira da família, inexistência de seguro ou outro instrumento contratual que custeie integralmente o translado, ocorrência de circunstâncias que causem intensa comoção e mobilização social no âmbito local e disponibilidade orçamentária e financeira.</w:t>
      </w:r>
    </w:p>
    <w:p w14:paraId="76043D98"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A matéria possui evidente relevância humana e social. Entretanto, no âmbito desta Comissão, a análise deve observar a proteção do contribuinte, a transparência pública, a impessoalidade administrativa, a objetividade dos critérios e a responsabilidade no uso dos recursos públicos.</w:t>
      </w:r>
    </w:p>
    <w:p w14:paraId="1BBBF9B7"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hAnsi="Times New Roman" w:cs="Times New Roman"/>
          <w:b/>
          <w:sz w:val="24"/>
          <w:szCs w:val="24"/>
        </w:rPr>
        <w:t>VOTO DO RELATOR (PARECER FAVORÁVEL COM RESSALVAS)</w:t>
      </w:r>
    </w:p>
    <w:p w14:paraId="1567A0F3"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hAnsi="Times New Roman" w:cs="Times New Roman"/>
          <w:sz w:val="24"/>
          <w:szCs w:val="24"/>
        </w:rPr>
        <w:t>A finalidade humanitária do projeto é legítima, sensível e merece acolhimento por esta Casa Legislativa. A criação de mecanismo municipal para auxiliar famílias de munícipes falecidos no exterior, em situações excepcionais, atende a uma necessidade concreta e se harmoniza com os princípios da dignidade da pessoa humana, da solidariedade social e da proteção às famílias em situação de vulnerabilidade.</w:t>
      </w:r>
    </w:p>
    <w:p w14:paraId="439637FC"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hAnsi="Times New Roman" w:cs="Times New Roman"/>
          <w:sz w:val="24"/>
          <w:szCs w:val="24"/>
        </w:rPr>
        <w:t>Entretanto, o texto apresentado ainda contém pontos que devem ser aperfeiçoados para evitar subjetividade excessiva, concentração decisória no Chefe do Poder Executivo, ausência de transparência, falta de critérios objetivos e risco de uso inadequado de recursos públicos. Por isso, o parecer é favorável ao mérito da proposição, com ressalvas e recomendações de alteração.</w:t>
      </w:r>
    </w:p>
    <w:p w14:paraId="74EE90BE"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1. EXCESSIVA DEPENDÊNCIA DE AUTORIZAÇÃO DO PREFEITO</w:t>
      </w:r>
    </w:p>
    <w:p w14:paraId="7F33ACD3"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O art. 2º condiciona a concessão do benefício à autorização do Chefe do Poder Executivo Municipal, em caráter excepcional e motivado. A redação, como posta, concentra a decisão final no Prefeito, sem exigir parecer técnico prévio, análise socioassistencial, procedimento administrativo padronizado ou critérios vinculantes.</w:t>
      </w:r>
    </w:p>
    <w:p w14:paraId="7C7A18C1"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lastRenderedPageBreak/>
        <w:t>Em matéria que envolve dinheiro público e situação de vulnerabilidade familiar, a decisão não pode depender de conveniência política ou percepção subjetiva da autoridade máxima do Executivo. O benefício deve ser concedido ou negado com base em regras claras, documentação mínima, parecer técnico e motivação administrativa verificável.</w:t>
      </w:r>
    </w:p>
    <w:p w14:paraId="731498EC"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2. CONCEITOS SUBJETIVOS E ABERTOS</w:t>
      </w:r>
    </w:p>
    <w:p w14:paraId="783B9CD4"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O projeto utiliza expressões como “</w:t>
      </w:r>
      <w:proofErr w:type="gramStart"/>
      <w:r w:rsidRPr="005D7066">
        <w:rPr>
          <w:rFonts w:ascii="Times New Roman" w:eastAsia="Times New Roman" w:hAnsi="Times New Roman" w:cs="Times New Roman"/>
          <w:sz w:val="24"/>
          <w:szCs w:val="24"/>
        </w:rPr>
        <w:t>situação de emergência</w:t>
      </w:r>
      <w:proofErr w:type="gramEnd"/>
      <w:r w:rsidRPr="005D7066">
        <w:rPr>
          <w:rFonts w:ascii="Times New Roman" w:eastAsia="Times New Roman" w:hAnsi="Times New Roman" w:cs="Times New Roman"/>
          <w:sz w:val="24"/>
          <w:szCs w:val="24"/>
        </w:rPr>
        <w:t>, desastre ou tragédia”, “circunstâncias que causem intensa comoção e mobilização social no âmbito local” e “situações excepcionais”, sem definir objetivamente o alcance desses conceitos.</w:t>
      </w:r>
    </w:p>
    <w:p w14:paraId="21FC5E0A"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A expressão “comoção social”, em especial, é altamente subjetiva. Um benefício público não deve depender do grau de repercussão de um caso nas redes sociais, na imprensa ou na opinião pública, sob pena de criar tratamento desigual entre famílias igualmente vulneráveis.</w:t>
      </w:r>
    </w:p>
    <w:p w14:paraId="69B06432"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A lei deve estabelecer critérios verificáveis, tais como declaração formal de emergência ou desastre por autoridade competente, ocorrência de acidente, desastre natural, conflito, calamidade, crime ou evento de força maior, além da comprovação de residência ou vínculo do falecido com o Município.</w:t>
      </w:r>
    </w:p>
    <w:p w14:paraId="2F00C5B4"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3. AUSÊNCIA DE CRITÉRIOS OBJETIVOS PARA COMPROVAÇÃO DA INCAPACIDADE FINANCEIRA</w:t>
      </w:r>
    </w:p>
    <w:p w14:paraId="4BAD67AD"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O inciso I do art. 2º exige apenas que a família comprove incapacidade financeira, mas não estabelece quais documentos deverão ser apresentados, qual limite de renda será considerado, se haverá exigência de inscrição no Cadastro Único, avaliação por assistente social, declaração de hipossuficiência ou análise do núcleo familiar.</w:t>
      </w:r>
    </w:p>
    <w:p w14:paraId="566F3728"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A falta de critérios abre espaço para decisões desiguais, insegurança jurídica e favorecimentos indevidos. O texto deve prever parâmetros objetivos de vulnerabilidade, preferencialmente vinculados à política municipal de assistência social e à avaliação técnica do órgão competente.</w:t>
      </w:r>
    </w:p>
    <w:p w14:paraId="03A3D52C"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4. AUSÊNCIA DE TETO DE GASTO, COTAÇÃO E CONTROLE DO VALOR PAGO</w:t>
      </w:r>
    </w:p>
    <w:p w14:paraId="3F35B215"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O projeto não fixa limite máximo para o benefício, não exige pesquisa de preços, não define quais despesas podem ser reembolsadas ou custeadas diretamente, nem estabelece forma de contratação dos serviços.</w:t>
      </w:r>
    </w:p>
    <w:p w14:paraId="09FD92D8"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O translado internacional pode envolver valores elevados e variáveis. Sem teto, cotação mínima, justificativa de preço, comprovação documental e delimitação das despesas autorizadas, o Município fica exposto a gasto imprevisível e pouco controlável.</w:t>
      </w:r>
    </w:p>
    <w:p w14:paraId="5FF71952"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Recomenda-se prever valor máximo por benefício, preferencialmente vinculado a índice municipal ou a decreto regulamentar com teto previamente publicizado, além da exigência de, sempre que possível, ao menos três orçamentos ou justificativa formal da impossibilidade de cotação.</w:t>
      </w:r>
    </w:p>
    <w:p w14:paraId="2593491D"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5. FALTA DE TRANSPARÊNCIA E DE PRESTAÇÃO DE CONTAS</w:t>
      </w:r>
    </w:p>
    <w:p w14:paraId="1E68ADB6"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lastRenderedPageBreak/>
        <w:t>O texto não exige publicação dos atos de concessão, dos valores pagos, da empresa contratada, do fundamento da decisão, do processo administrativo ou de relatórios periódicos à Câmara Municipal.</w:t>
      </w:r>
    </w:p>
    <w:p w14:paraId="30DCE03B"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Ainda que devam ser preservados dados pessoais e a intimidade da família, é indispensável assegurar transparência mínima quanto ao uso do dinheiro público, mediante publicação anonimizada ou parcialmente resguardada dos dados sensíveis, contendo valor total, motivação, enquadramento legal e dotação utilizada.</w:t>
      </w:r>
    </w:p>
    <w:p w14:paraId="24930B5B"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Também deve ser previsto o envio de relatório anual à Câmara Municipal, com quantidade de benefícios solicitados, deferidos e indeferidos, valores gastos, fundamentos das decisões e origem orçamentária dos recursos.</w:t>
      </w:r>
    </w:p>
    <w:p w14:paraId="38276652"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6. RISCO DE PROMOÇÃO PESSOAL E USO POLÍTICO DO BENEFÍCIO</w:t>
      </w:r>
    </w:p>
    <w:p w14:paraId="5A8D1D79"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Como o projeto vincula a concessão à autorização do Chefe do Executivo e a situações de grande comoção local, há risco de que o benefício seja utilizado de forma casuística, com exploração política de tragédias ou tratamento privilegiado para casos de maior repercussão pública.</w:t>
      </w:r>
    </w:p>
    <w:p w14:paraId="72B081F2"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A legislação deve conter regra expressa vedando o uso promocional, publicitário ou político do benefício, bem como qualquer vinculação da concessão à imagem de autoridade, agente político ou órgão de governo.</w:t>
      </w:r>
    </w:p>
    <w:p w14:paraId="78761CB1"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7. LEGITIMIDADE AMPLA DEMAIS PARA REQUERIMENTO POR “QUALQUER CIDADÃO”</w:t>
      </w:r>
    </w:p>
    <w:p w14:paraId="6637B533"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O §2º do art. 2º permite que, na ausência de qualquer parente conhecido, o benefício seja concedido a pedido de qualquer cidadão niteroiense que comprove proximidade com o falecido. A redação é excessivamente aberta e não define como essa proximidade será comprovada.</w:t>
      </w:r>
    </w:p>
    <w:p w14:paraId="022F4BF5"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A regra precisa ser ajustada para prever ordem de preferência, documentos mínimos, declaração de responsabilidade, autorização consular quando couber e avaliação técnica, evitando pedidos indevidos, conflitos familiares ou decisões precipitadas.</w:t>
      </w:r>
    </w:p>
    <w:p w14:paraId="6B81B517"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8. OBRIGAÇÃO DE SEPULTAMENTO EM NITERÓI PODE SER INADEQUADA</w:t>
      </w:r>
    </w:p>
    <w:p w14:paraId="6A0D314F"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O §3º do art. 2º determina que o corpo custeado pelo benefício deverá ser obrigatoriamente sepultado no Município de Niterói. Embora busque justificar o interesse local, a regra pode conflitar com a vontade da família, com questões religiosas, com a situação do falecido ou com a própria finalidade humanitária da medida.</w:t>
      </w:r>
    </w:p>
    <w:p w14:paraId="1729A182"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 xml:space="preserve">Caso mantida, a exigência deve ser </w:t>
      </w:r>
      <w:proofErr w:type="gramStart"/>
      <w:r w:rsidRPr="005D7066">
        <w:rPr>
          <w:rFonts w:ascii="Times New Roman" w:eastAsia="Times New Roman" w:hAnsi="Times New Roman" w:cs="Times New Roman"/>
          <w:sz w:val="24"/>
          <w:szCs w:val="24"/>
        </w:rPr>
        <w:t>melhor</w:t>
      </w:r>
      <w:proofErr w:type="gramEnd"/>
      <w:r w:rsidRPr="005D7066">
        <w:rPr>
          <w:rFonts w:ascii="Times New Roman" w:eastAsia="Times New Roman" w:hAnsi="Times New Roman" w:cs="Times New Roman"/>
          <w:sz w:val="24"/>
          <w:szCs w:val="24"/>
        </w:rPr>
        <w:t xml:space="preserve"> calibrada, prevendo hipóteses excepcionais, especialmente quando houver cremação, jazigo familiar em outro município, manifestação anterior do falecido ou decisão fundamentada dos familiares.</w:t>
      </w:r>
    </w:p>
    <w:p w14:paraId="3325AABB"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9. AUSÊNCIA DE ESTIMATIVA DE IMPACTO E PLANEJAMENTO ORÇAMENTÁRIO ESPECÍFICO</w:t>
      </w:r>
    </w:p>
    <w:p w14:paraId="47138BBE"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 xml:space="preserve">O art. 4º afirma que as despesas correrão à conta de dotações próprias, suplementadas se necessário, e que previsões futuras deverão destinar recursos específicos. Contudo, o projeto não </w:t>
      </w:r>
      <w:r w:rsidRPr="005D7066">
        <w:rPr>
          <w:rFonts w:ascii="Times New Roman" w:eastAsia="Times New Roman" w:hAnsi="Times New Roman" w:cs="Times New Roman"/>
          <w:sz w:val="24"/>
          <w:szCs w:val="24"/>
        </w:rPr>
        <w:lastRenderedPageBreak/>
        <w:t>apresenta teto global anual, estimativa de impacto, fonte orçamentária específica ou mecanismo de controle de execução.</w:t>
      </w:r>
    </w:p>
    <w:p w14:paraId="53E4E09F"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eastAsia="Times New Roman" w:hAnsi="Times New Roman" w:cs="Times New Roman"/>
          <w:sz w:val="24"/>
          <w:szCs w:val="24"/>
        </w:rPr>
        <w:t>Para proteger o contribuinte, a lei deve estabelecer limite orçamentário anual, condicionamento à disponibilidade previamente demonstrada e vedação de execução sem processo administrativo formal e indicação precisa da dotação utilizada.</w:t>
      </w:r>
    </w:p>
    <w:p w14:paraId="0E8A237C"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hAnsi="Times New Roman" w:cs="Times New Roman"/>
          <w:b/>
          <w:sz w:val="24"/>
          <w:szCs w:val="24"/>
        </w:rPr>
        <w:t>10. RESSALVAS E SUGESTÕES DE ALTERAÇÃO</w:t>
      </w:r>
    </w:p>
    <w:p w14:paraId="647FF8DA"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hAnsi="Times New Roman" w:cs="Times New Roman"/>
          <w:sz w:val="24"/>
          <w:szCs w:val="24"/>
        </w:rPr>
        <w:t>Para aperfeiçoamento da proposta e maior proteção do contribuinte, esta Comissão sugere a apresentação de substitutivo ou emendas contemplando, no mínimo:</w:t>
      </w:r>
    </w:p>
    <w:p w14:paraId="1C7AB4DD"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definição objetiva das hipóteses de emergência, desastre, tragédia ou força maior;</w:t>
      </w:r>
    </w:p>
    <w:p w14:paraId="2A794AD1"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substituição da expressão “intensa comoção e mobilização social” por critérios verificáveis e impessoais;</w:t>
      </w:r>
    </w:p>
    <w:p w14:paraId="0A38072D"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exigência de processo administrativo formal, com parecer técnico do órgão municipal de assistência social;</w:t>
      </w:r>
    </w:p>
    <w:p w14:paraId="2277F542"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critérios objetivos de vulnerabilidade econômica, com documentos mínimos e, quando cabível, referência ao Cadastro Único ou avaliação socioassistencial;</w:t>
      </w:r>
    </w:p>
    <w:p w14:paraId="6F08A962"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fixação de teto máximo por benefício e limite anual de despesa;</w:t>
      </w:r>
    </w:p>
    <w:p w14:paraId="3A570E96"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exigência de pesquisa de preços ou justificativa formal da impossibilidade de cotação;</w:t>
      </w:r>
    </w:p>
    <w:p w14:paraId="38D75F3E"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publicação de ato de concessão com preservação de dados pessoais sensíveis, mas com informação do valor, fundamento legal e dotação utilizada;</w:t>
      </w:r>
    </w:p>
    <w:p w14:paraId="396DA3B1"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envio de relatório anual à Câmara Municipal com número de pedidos, deferimentos, indeferimentos e valores executados;</w:t>
      </w:r>
    </w:p>
    <w:p w14:paraId="3E2D92CB"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vedação expressa de promoção pessoal ou uso político do benefício;</w:t>
      </w:r>
    </w:p>
    <w:p w14:paraId="7565593F"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regulamentação da legitimidade para requerer o benefício e dos documentos necessários;</w:t>
      </w:r>
    </w:p>
    <w:p w14:paraId="4C1DCE7B" w14:textId="77777777" w:rsidR="005D7066" w:rsidRPr="005D7066" w:rsidRDefault="005D7066" w:rsidP="005D7066">
      <w:pPr>
        <w:spacing w:after="100" w:line="259" w:lineRule="auto"/>
        <w:ind w:left="567" w:hanging="198"/>
        <w:jc w:val="both"/>
        <w:rPr>
          <w:rFonts w:ascii="Times New Roman" w:hAnsi="Times New Roman" w:cs="Times New Roman"/>
          <w:sz w:val="24"/>
          <w:szCs w:val="24"/>
        </w:rPr>
      </w:pPr>
      <w:r w:rsidRPr="005D7066">
        <w:rPr>
          <w:rFonts w:ascii="Times New Roman" w:eastAsia="Times New Roman" w:hAnsi="Times New Roman" w:cs="Times New Roman"/>
          <w:sz w:val="24"/>
          <w:szCs w:val="24"/>
        </w:rPr>
        <w:t>• revisão da obrigatoriedade absoluta de sepultamento em Niterói, admitindo exceções fundamentadas.</w:t>
      </w:r>
    </w:p>
    <w:p w14:paraId="2E87239E"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t>CONCLUSÃO</w:t>
      </w:r>
    </w:p>
    <w:p w14:paraId="116E438F"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hAnsi="Times New Roman" w:cs="Times New Roman"/>
          <w:sz w:val="24"/>
          <w:szCs w:val="24"/>
        </w:rPr>
        <w:t>Diante do exposto, esta Comissão reconhece a relevância humana e social do Projeto de Lei nº 193/2026, especialmente por buscar amparar famílias de munícipes falecidos no exterior em situações excepcionais, de emergência, desastre ou tragédia.</w:t>
      </w:r>
    </w:p>
    <w:p w14:paraId="4E2292A6" w14:textId="77777777" w:rsid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hAnsi="Times New Roman" w:cs="Times New Roman"/>
          <w:sz w:val="24"/>
          <w:szCs w:val="24"/>
        </w:rPr>
        <w:t>Todavia, a aprovação da matéria deve vir acompanhada de ressalvas, pois o texto atual ainda é excessivamente subjetivo, depende demasiadamente da autorização do Chefe do Poder Executivo e não assegura, de forma suficiente, mecanismos de controle, publicidade, limite de gasto, critérios objetivos e prestação de contas ao contribuinte.</w:t>
      </w:r>
    </w:p>
    <w:p w14:paraId="77D7D8DB" w14:textId="77777777" w:rsidR="005D7066" w:rsidRDefault="005D7066" w:rsidP="005D7066">
      <w:pPr>
        <w:spacing w:after="160" w:line="259" w:lineRule="auto"/>
        <w:ind w:firstLine="709"/>
        <w:jc w:val="both"/>
        <w:rPr>
          <w:rFonts w:ascii="Times New Roman" w:hAnsi="Times New Roman" w:cs="Times New Roman"/>
          <w:sz w:val="24"/>
          <w:szCs w:val="24"/>
        </w:rPr>
      </w:pPr>
    </w:p>
    <w:p w14:paraId="602AAD97" w14:textId="77777777" w:rsidR="005D7066" w:rsidRPr="005D7066" w:rsidRDefault="005D7066" w:rsidP="005D7066">
      <w:pPr>
        <w:spacing w:after="160" w:line="259" w:lineRule="auto"/>
        <w:ind w:firstLine="709"/>
        <w:jc w:val="both"/>
        <w:rPr>
          <w:rFonts w:ascii="Times New Roman" w:hAnsi="Times New Roman" w:cs="Times New Roman"/>
          <w:sz w:val="24"/>
          <w:szCs w:val="24"/>
        </w:rPr>
      </w:pPr>
    </w:p>
    <w:p w14:paraId="1F60D202" w14:textId="77777777" w:rsidR="005D7066" w:rsidRPr="005D7066" w:rsidRDefault="005D7066" w:rsidP="005D7066">
      <w:pPr>
        <w:spacing w:before="200" w:after="160" w:line="259" w:lineRule="auto"/>
        <w:jc w:val="both"/>
        <w:rPr>
          <w:rFonts w:ascii="Times New Roman" w:hAnsi="Times New Roman" w:cs="Times New Roman"/>
          <w:sz w:val="24"/>
          <w:szCs w:val="24"/>
        </w:rPr>
      </w:pPr>
      <w:r w:rsidRPr="005D7066">
        <w:rPr>
          <w:rFonts w:ascii="Times New Roman" w:eastAsia="Times New Roman" w:hAnsi="Times New Roman" w:cs="Times New Roman"/>
          <w:b/>
          <w:sz w:val="24"/>
          <w:szCs w:val="24"/>
        </w:rPr>
        <w:lastRenderedPageBreak/>
        <w:t>PARECER</w:t>
      </w:r>
    </w:p>
    <w:p w14:paraId="60655930" w14:textId="77777777" w:rsidR="005D7066" w:rsidRPr="005D7066" w:rsidRDefault="005D7066" w:rsidP="005D7066">
      <w:pPr>
        <w:spacing w:after="160" w:line="259" w:lineRule="auto"/>
        <w:ind w:firstLine="709"/>
        <w:jc w:val="both"/>
        <w:rPr>
          <w:rFonts w:ascii="Times New Roman" w:hAnsi="Times New Roman" w:cs="Times New Roman"/>
          <w:sz w:val="24"/>
          <w:szCs w:val="24"/>
        </w:rPr>
      </w:pPr>
      <w:r w:rsidRPr="005D7066">
        <w:rPr>
          <w:rFonts w:ascii="Times New Roman" w:hAnsi="Times New Roman" w:cs="Times New Roman"/>
          <w:b/>
          <w:sz w:val="24"/>
          <w:szCs w:val="24"/>
        </w:rPr>
        <w:t>Ante o exposto, a Comissão Permanente de Defesa do Consumidor e Direitos do Contribuinte – CDCDC opina pela APROVAÇÃO, COM RESSALVAS, do Projeto de Lei nº 193/2026, recomendando a apresentação de substitutivo ou emendas que estabeleçam critérios objetivos, transparência, controle orçamentário, procedimento administrativo formal e vedação de uso político do benefício.</w:t>
      </w:r>
    </w:p>
    <w:p w14:paraId="2B1B64B3" w14:textId="77777777" w:rsidR="005D7066" w:rsidRPr="005D7066" w:rsidRDefault="005D7066" w:rsidP="005D7066">
      <w:pPr>
        <w:spacing w:line="259" w:lineRule="auto"/>
        <w:jc w:val="center"/>
        <w:rPr>
          <w:rFonts w:ascii="Times New Roman" w:hAnsi="Times New Roman" w:cs="Times New Roman"/>
          <w:sz w:val="24"/>
          <w:szCs w:val="24"/>
        </w:rPr>
      </w:pPr>
      <w:r w:rsidRPr="005D7066">
        <w:rPr>
          <w:rFonts w:ascii="Times New Roman" w:eastAsia="Times New Roman" w:hAnsi="Times New Roman" w:cs="Times New Roman"/>
          <w:b/>
          <w:sz w:val="24"/>
          <w:szCs w:val="24"/>
        </w:rPr>
        <w:t xml:space="preserve">Sala das Comissões, </w:t>
      </w:r>
      <w:r w:rsidRPr="005D7066">
        <w:rPr>
          <w:rFonts w:ascii="Times New Roman" w:hAnsi="Times New Roman" w:cs="Times New Roman"/>
          <w:b/>
          <w:sz w:val="24"/>
          <w:szCs w:val="24"/>
        </w:rPr>
        <w:t>25</w:t>
      </w:r>
      <w:r w:rsidRPr="005D7066">
        <w:rPr>
          <w:rFonts w:ascii="Times New Roman" w:eastAsia="Times New Roman" w:hAnsi="Times New Roman" w:cs="Times New Roman"/>
          <w:b/>
          <w:sz w:val="24"/>
          <w:szCs w:val="24"/>
        </w:rPr>
        <w:t xml:space="preserve"> de </w:t>
      </w:r>
      <w:r w:rsidRPr="005D7066">
        <w:rPr>
          <w:rFonts w:ascii="Times New Roman" w:hAnsi="Times New Roman" w:cs="Times New Roman"/>
          <w:b/>
          <w:sz w:val="24"/>
          <w:szCs w:val="24"/>
        </w:rPr>
        <w:t>maio</w:t>
      </w:r>
      <w:r w:rsidRPr="005D7066">
        <w:rPr>
          <w:rFonts w:ascii="Times New Roman" w:eastAsia="Times New Roman" w:hAnsi="Times New Roman" w:cs="Times New Roman"/>
          <w:b/>
          <w:sz w:val="24"/>
          <w:szCs w:val="24"/>
        </w:rPr>
        <w:t xml:space="preserve"> de 2026.</w:t>
      </w:r>
    </w:p>
    <w:p w14:paraId="54F2EDD5" w14:textId="77777777" w:rsidR="005D7066" w:rsidRPr="005D7066" w:rsidRDefault="005D7066" w:rsidP="005D7066">
      <w:pPr>
        <w:spacing w:after="0"/>
        <w:jc w:val="center"/>
        <w:rPr>
          <w:rFonts w:ascii="Times New Roman" w:hAnsi="Times New Roman" w:cs="Times New Roman"/>
          <w:sz w:val="24"/>
          <w:szCs w:val="24"/>
        </w:rPr>
      </w:pPr>
    </w:p>
    <w:p w14:paraId="069AF72C" w14:textId="77777777" w:rsidR="005D7066" w:rsidRPr="005D7066" w:rsidRDefault="005D7066" w:rsidP="005D7066">
      <w:pPr>
        <w:spacing w:after="0"/>
        <w:jc w:val="center"/>
        <w:rPr>
          <w:rFonts w:ascii="Times New Roman" w:hAnsi="Times New Roman" w:cs="Times New Roman"/>
          <w:sz w:val="24"/>
          <w:szCs w:val="24"/>
        </w:rPr>
      </w:pPr>
      <w:r w:rsidRPr="005D7066">
        <w:rPr>
          <w:rFonts w:ascii="Times New Roman" w:eastAsia="Times New Roman" w:hAnsi="Times New Roman" w:cs="Times New Roman"/>
          <w:b/>
          <w:sz w:val="24"/>
          <w:szCs w:val="24"/>
        </w:rPr>
        <w:t>DOUGLAS DE SOUZA GOMES</w:t>
      </w:r>
    </w:p>
    <w:p w14:paraId="020910F4" w14:textId="77777777" w:rsidR="005D7066" w:rsidRPr="005D7066" w:rsidRDefault="005D7066" w:rsidP="005D7066">
      <w:pPr>
        <w:spacing w:after="160"/>
        <w:jc w:val="center"/>
        <w:rPr>
          <w:rFonts w:ascii="Times New Roman" w:hAnsi="Times New Roman" w:cs="Times New Roman"/>
          <w:sz w:val="24"/>
          <w:szCs w:val="24"/>
        </w:rPr>
      </w:pPr>
      <w:r w:rsidRPr="005D7066">
        <w:rPr>
          <w:rFonts w:ascii="Times New Roman" w:eastAsia="Times New Roman" w:hAnsi="Times New Roman" w:cs="Times New Roman"/>
          <w:sz w:val="24"/>
          <w:szCs w:val="24"/>
        </w:rPr>
        <w:t>Presidente da Comissão de Defesa do Consumidor e Direito do Contribuinte</w:t>
      </w:r>
      <w:r w:rsidRPr="005D7066">
        <w:rPr>
          <w:rFonts w:ascii="Times New Roman" w:hAnsi="Times New Roman" w:cs="Times New Roman"/>
          <w:sz w:val="24"/>
          <w:szCs w:val="24"/>
        </w:rPr>
        <w:br/>
      </w:r>
      <w:r w:rsidRPr="005D7066">
        <w:rPr>
          <w:rFonts w:ascii="Times New Roman" w:eastAsia="Times New Roman" w:hAnsi="Times New Roman" w:cs="Times New Roman"/>
          <w:sz w:val="24"/>
          <w:szCs w:val="24"/>
        </w:rPr>
        <w:t>Relator</w:t>
      </w:r>
    </w:p>
    <w:p w14:paraId="30DC1C6F" w14:textId="77777777" w:rsidR="005D7066" w:rsidRPr="005D7066" w:rsidRDefault="005D7066" w:rsidP="005D7066">
      <w:pPr>
        <w:spacing w:after="0"/>
        <w:jc w:val="center"/>
        <w:rPr>
          <w:rFonts w:ascii="Times New Roman" w:hAnsi="Times New Roman" w:cs="Times New Roman"/>
          <w:sz w:val="24"/>
          <w:szCs w:val="24"/>
        </w:rPr>
      </w:pPr>
    </w:p>
    <w:p w14:paraId="073BA639" w14:textId="77777777" w:rsidR="005D7066" w:rsidRPr="005D7066" w:rsidRDefault="005D7066" w:rsidP="005D7066">
      <w:pPr>
        <w:spacing w:after="0"/>
        <w:jc w:val="center"/>
        <w:rPr>
          <w:rFonts w:ascii="Times New Roman" w:hAnsi="Times New Roman" w:cs="Times New Roman"/>
          <w:sz w:val="24"/>
          <w:szCs w:val="24"/>
        </w:rPr>
      </w:pPr>
      <w:r w:rsidRPr="005D7066">
        <w:rPr>
          <w:rFonts w:ascii="Times New Roman" w:eastAsia="Times New Roman" w:hAnsi="Times New Roman" w:cs="Times New Roman"/>
          <w:b/>
          <w:sz w:val="24"/>
          <w:szCs w:val="24"/>
        </w:rPr>
        <w:t>EMANOEL ROCHA</w:t>
      </w:r>
    </w:p>
    <w:p w14:paraId="16647F4C" w14:textId="77777777" w:rsidR="005D7066" w:rsidRPr="005D7066" w:rsidRDefault="005D7066" w:rsidP="005D7066">
      <w:pPr>
        <w:spacing w:after="160"/>
        <w:jc w:val="center"/>
        <w:rPr>
          <w:rFonts w:ascii="Times New Roman" w:hAnsi="Times New Roman" w:cs="Times New Roman"/>
          <w:sz w:val="24"/>
          <w:szCs w:val="24"/>
        </w:rPr>
      </w:pPr>
      <w:r w:rsidRPr="005D7066">
        <w:rPr>
          <w:rFonts w:ascii="Times New Roman" w:eastAsia="Times New Roman" w:hAnsi="Times New Roman" w:cs="Times New Roman"/>
          <w:sz w:val="24"/>
          <w:szCs w:val="24"/>
        </w:rPr>
        <w:t>Vice-Presidente da Comissão de Defesa do Consumidor e Direito do Contribuinte</w:t>
      </w:r>
    </w:p>
    <w:p w14:paraId="28744EFE" w14:textId="77777777" w:rsidR="005D7066" w:rsidRPr="005D7066" w:rsidRDefault="005D7066" w:rsidP="005D7066">
      <w:pPr>
        <w:spacing w:after="0"/>
        <w:jc w:val="center"/>
        <w:rPr>
          <w:rFonts w:ascii="Times New Roman" w:hAnsi="Times New Roman" w:cs="Times New Roman"/>
          <w:sz w:val="24"/>
          <w:szCs w:val="24"/>
        </w:rPr>
      </w:pPr>
    </w:p>
    <w:p w14:paraId="11072B96" w14:textId="77777777" w:rsidR="005D7066" w:rsidRPr="005D7066" w:rsidRDefault="005D7066" w:rsidP="005D7066">
      <w:pPr>
        <w:spacing w:after="0"/>
        <w:jc w:val="center"/>
        <w:rPr>
          <w:rFonts w:ascii="Times New Roman" w:hAnsi="Times New Roman" w:cs="Times New Roman"/>
          <w:sz w:val="24"/>
          <w:szCs w:val="24"/>
        </w:rPr>
      </w:pPr>
      <w:r w:rsidRPr="005D7066">
        <w:rPr>
          <w:rFonts w:ascii="Times New Roman" w:eastAsia="Times New Roman" w:hAnsi="Times New Roman" w:cs="Times New Roman"/>
          <w:b/>
          <w:sz w:val="24"/>
          <w:szCs w:val="24"/>
        </w:rPr>
        <w:t>LEONARDO GIORDANO</w:t>
      </w:r>
    </w:p>
    <w:p w14:paraId="5B1FCDA4" w14:textId="77777777" w:rsidR="005D7066" w:rsidRPr="005D7066" w:rsidRDefault="005D7066" w:rsidP="005D7066">
      <w:pPr>
        <w:spacing w:after="160"/>
        <w:jc w:val="center"/>
        <w:rPr>
          <w:rFonts w:ascii="Times New Roman" w:hAnsi="Times New Roman" w:cs="Times New Roman"/>
          <w:sz w:val="24"/>
          <w:szCs w:val="24"/>
        </w:rPr>
      </w:pPr>
      <w:r w:rsidRPr="005D7066">
        <w:rPr>
          <w:rFonts w:ascii="Times New Roman" w:eastAsia="Times New Roman" w:hAnsi="Times New Roman" w:cs="Times New Roman"/>
          <w:sz w:val="24"/>
          <w:szCs w:val="24"/>
        </w:rPr>
        <w:t>Membro da Comissão de Defesa do Consumidor e Direito do Contribuinte</w:t>
      </w:r>
    </w:p>
    <w:p w14:paraId="0D32F164" w14:textId="77777777" w:rsidR="008E0326" w:rsidRPr="005D7066" w:rsidRDefault="008E0326" w:rsidP="005D7066">
      <w:pPr>
        <w:jc w:val="both"/>
        <w:rPr>
          <w:rFonts w:ascii="Times New Roman" w:hAnsi="Times New Roman" w:cs="Times New Roman"/>
          <w:sz w:val="24"/>
          <w:szCs w:val="24"/>
        </w:rPr>
      </w:pPr>
    </w:p>
    <w:sectPr w:rsidR="008E0326" w:rsidRPr="005D7066" w:rsidSect="005D7066">
      <w:headerReference w:type="default" r:id="rId4"/>
      <w:footerReference w:type="default" r:id="rId5"/>
      <w:headerReference w:type="first" r:id="rId6"/>
      <w:footerReference w:type="first" r:id="rId7"/>
      <w:pgSz w:w="11906" w:h="16838"/>
      <w:pgMar w:top="415" w:right="1133" w:bottom="1276" w:left="1276" w:header="284" w:footer="10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42DD0" w14:textId="77777777" w:rsidR="00CF4FA0" w:rsidRPr="00F1185B" w:rsidRDefault="00CF4FA0" w:rsidP="00020A7D">
    <w:pPr>
      <w:shd w:val="clear" w:color="auto" w:fill="FFFFFF"/>
      <w:spacing w:after="0" w:line="240" w:lineRule="auto"/>
      <w:jc w:val="center"/>
      <w:rPr>
        <w:rFonts w:ascii="Times New Roman" w:eastAsia="Times New Roman" w:hAnsi="Times New Roman" w:cs="Times New Roman"/>
        <w:color w:val="262626"/>
        <w:sz w:val="20"/>
        <w:szCs w:val="20"/>
        <w:lang w:eastAsia="pt-BR"/>
      </w:rPr>
    </w:pPr>
    <w:r w:rsidRPr="00F1185B">
      <w:rPr>
        <w:rFonts w:ascii="Times New Roman" w:eastAsia="Times New Roman" w:hAnsi="Times New Roman" w:cs="Times New Roman"/>
        <w:color w:val="262626"/>
        <w:sz w:val="20"/>
        <w:szCs w:val="20"/>
        <w:lang w:eastAsia="pt-BR"/>
      </w:rPr>
      <w:t>Av. Ernani do Amaral Peixoto, n</w:t>
    </w:r>
    <w:r>
      <w:rPr>
        <w:rFonts w:ascii="Times New Roman" w:eastAsia="Times New Roman" w:hAnsi="Times New Roman" w:cs="Times New Roman"/>
        <w:color w:val="262626"/>
        <w:sz w:val="20"/>
        <w:szCs w:val="20"/>
        <w:lang w:eastAsia="pt-BR"/>
      </w:rPr>
      <w:t>º</w:t>
    </w:r>
    <w:r w:rsidRPr="00F1185B">
      <w:rPr>
        <w:rFonts w:ascii="Times New Roman" w:eastAsia="Times New Roman" w:hAnsi="Times New Roman" w:cs="Times New Roman"/>
        <w:color w:val="262626"/>
        <w:sz w:val="20"/>
        <w:szCs w:val="20"/>
        <w:lang w:eastAsia="pt-BR"/>
      </w:rPr>
      <w:t xml:space="preserve"> 625, Gab</w:t>
    </w:r>
    <w:r>
      <w:rPr>
        <w:rFonts w:ascii="Times New Roman" w:eastAsia="Times New Roman" w:hAnsi="Times New Roman" w:cs="Times New Roman"/>
        <w:color w:val="262626"/>
        <w:sz w:val="20"/>
        <w:szCs w:val="20"/>
        <w:lang w:eastAsia="pt-BR"/>
      </w:rPr>
      <w:t>inete</w:t>
    </w:r>
    <w:r w:rsidRPr="00F1185B">
      <w:rPr>
        <w:rFonts w:ascii="Times New Roman" w:eastAsia="Times New Roman" w:hAnsi="Times New Roman" w:cs="Times New Roman"/>
        <w:color w:val="262626"/>
        <w:sz w:val="20"/>
        <w:szCs w:val="20"/>
        <w:lang w:eastAsia="pt-BR"/>
      </w:rPr>
      <w:t xml:space="preserve"> </w:t>
    </w:r>
    <w:r>
      <w:rPr>
        <w:rFonts w:ascii="Times New Roman" w:eastAsia="Times New Roman" w:hAnsi="Times New Roman" w:cs="Times New Roman"/>
        <w:color w:val="262626"/>
        <w:sz w:val="20"/>
        <w:szCs w:val="20"/>
        <w:lang w:eastAsia="pt-BR"/>
      </w:rPr>
      <w:t>n</w:t>
    </w:r>
    <w:r w:rsidRPr="00F1185B">
      <w:rPr>
        <w:rFonts w:ascii="Times New Roman" w:eastAsia="Times New Roman" w:hAnsi="Times New Roman" w:cs="Times New Roman"/>
        <w:color w:val="262626"/>
        <w:sz w:val="20"/>
        <w:szCs w:val="20"/>
        <w:lang w:eastAsia="pt-BR"/>
      </w:rPr>
      <w:t>º 36, Centro</w:t>
    </w:r>
    <w:r>
      <w:rPr>
        <w:rFonts w:ascii="Times New Roman" w:eastAsia="Times New Roman" w:hAnsi="Times New Roman" w:cs="Times New Roman"/>
        <w:color w:val="262626"/>
        <w:sz w:val="20"/>
        <w:szCs w:val="20"/>
        <w:lang w:eastAsia="pt-BR"/>
      </w:rPr>
      <w:t xml:space="preserve"> - </w:t>
    </w:r>
    <w:r w:rsidRPr="00F1185B">
      <w:rPr>
        <w:rFonts w:ascii="Times New Roman" w:eastAsia="Times New Roman" w:hAnsi="Times New Roman" w:cs="Times New Roman"/>
        <w:color w:val="262626"/>
        <w:sz w:val="20"/>
        <w:szCs w:val="20"/>
        <w:lang w:eastAsia="pt-BR"/>
      </w:rPr>
      <w:t>Niterói, CEP 24.020.073</w:t>
    </w:r>
  </w:p>
  <w:p w14:paraId="2B2E4839" w14:textId="77777777" w:rsidR="00CF4FA0" w:rsidRDefault="00CF4FA0" w:rsidP="00020A7D">
    <w:pPr>
      <w:shd w:val="clear" w:color="auto" w:fill="FFFFFF"/>
      <w:spacing w:after="0" w:line="240" w:lineRule="auto"/>
      <w:jc w:val="center"/>
      <w:rPr>
        <w:rFonts w:ascii="Times New Roman" w:eastAsia="Times New Roman" w:hAnsi="Times New Roman" w:cs="Times New Roman"/>
        <w:color w:val="262626"/>
        <w:sz w:val="20"/>
        <w:szCs w:val="20"/>
        <w:lang w:eastAsia="pt-BR"/>
      </w:rPr>
    </w:pPr>
    <w:r w:rsidRPr="00F1185B">
      <w:rPr>
        <w:rFonts w:ascii="Times New Roman" w:eastAsia="Times New Roman" w:hAnsi="Times New Roman" w:cs="Times New Roman"/>
        <w:color w:val="262626"/>
        <w:sz w:val="20"/>
        <w:szCs w:val="20"/>
        <w:lang w:eastAsia="pt-BR"/>
      </w:rPr>
      <w:t>Telefones: 3716-8600 - 2620-3732</w:t>
    </w:r>
  </w:p>
  <w:p w14:paraId="29958D5F" w14:textId="77777777" w:rsidR="00CF4FA0" w:rsidRPr="00427749" w:rsidRDefault="00CF4FA0">
    <w:pPr>
      <w:shd w:val="clear" w:color="auto" w:fill="FFFFFF"/>
      <w:spacing w:after="0" w:line="240" w:lineRule="auto"/>
      <w:jc w:val="center"/>
      <w:rPr>
        <w:rFonts w:ascii="Segoe UI" w:eastAsia="Times New Roman" w:hAnsi="Segoe UI" w:cs="Segoe UI"/>
        <w:color w:val="000000"/>
        <w:sz w:val="20"/>
        <w:szCs w:val="20"/>
        <w:lang w:eastAsia="pt-BR"/>
      </w:rPr>
    </w:pPr>
  </w:p>
  <w:p w14:paraId="695D471B" w14:textId="77777777" w:rsidR="00CF4FA0" w:rsidRDefault="00CF4FA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E9224" w14:textId="77777777" w:rsidR="00CF4FA0" w:rsidRPr="00427749" w:rsidRDefault="00CF4FA0">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74592E77" w14:textId="77777777" w:rsidR="00CF4FA0" w:rsidRPr="00B7530A" w:rsidRDefault="00CF4FA0">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AF09A" w14:textId="77777777" w:rsidR="00CF4FA0" w:rsidRDefault="00CF4FA0">
    <w:pPr>
      <w:pBdr>
        <w:bottom w:val="single" w:sz="4" w:space="1" w:color="auto"/>
      </w:pBdr>
      <w:spacing w:after="0" w:line="240" w:lineRule="auto"/>
      <w:jc w:val="center"/>
    </w:pPr>
    <w:sdt>
      <w:sdtPr>
        <w:id w:val="1746759852"/>
        <w:docPartObj>
          <w:docPartGallery w:val="Page Numbers (Margins)"/>
          <w:docPartUnique/>
        </w:docPartObj>
      </w:sdtPr>
      <w:sdtEndPr/>
      <w:sdtContent>
        <w:r>
          <w:rPr>
            <w:noProof/>
            <w:lang w:eastAsia="pt-BR"/>
          </w:rPr>
          <mc:AlternateContent>
            <mc:Choice Requires="wps">
              <w:drawing>
                <wp:anchor distT="0" distB="0" distL="114300" distR="114300" simplePos="0" relativeHeight="251659264" behindDoc="0" locked="0" layoutInCell="0" allowOverlap="1" wp14:anchorId="0A01490F" wp14:editId="6E5C887B">
                  <wp:simplePos x="0" y="0"/>
                  <wp:positionH relativeFrom="rightMargin">
                    <wp:align>right</wp:align>
                  </wp:positionH>
                  <wp:positionV relativeFrom="margin">
                    <wp:align>center</wp:align>
                  </wp:positionV>
                  <wp:extent cx="727710" cy="329565"/>
                  <wp:effectExtent l="0" t="0" r="0" b="381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09FE6A" w14:textId="77777777" w:rsidR="00CF4FA0" w:rsidRPr="00A866AA" w:rsidRDefault="00CF4FA0">
                              <w:pPr>
                                <w:pBdr>
                                  <w:bottom w:val="single" w:sz="4" w:space="1" w:color="auto"/>
                                </w:pBdr>
                                <w:rPr>
                                  <w:rFonts w:ascii="Times New Roman" w:hAnsi="Times New Roman" w:cs="Times New Roman"/>
                                  <w:sz w:val="16"/>
                                  <w:szCs w:val="16"/>
                                </w:rPr>
                              </w:pPr>
                              <w:r w:rsidRPr="00A866AA">
                                <w:rPr>
                                  <w:rFonts w:ascii="Times New Roman" w:hAnsi="Times New Roman" w:cs="Times New Roman"/>
                                  <w:sz w:val="16"/>
                                  <w:szCs w:val="16"/>
                                </w:rPr>
                                <w:fldChar w:fldCharType="begin"/>
                              </w:r>
                              <w:r w:rsidRPr="00A866AA">
                                <w:rPr>
                                  <w:rFonts w:ascii="Times New Roman" w:hAnsi="Times New Roman" w:cs="Times New Roman"/>
                                  <w:sz w:val="16"/>
                                  <w:szCs w:val="16"/>
                                </w:rPr>
                                <w:instrText>PAGE   \* MERGEFORMAT</w:instrText>
                              </w:r>
                              <w:r w:rsidRPr="00A866AA">
                                <w:rPr>
                                  <w:rFonts w:ascii="Times New Roman" w:hAnsi="Times New Roman" w:cs="Times New Roman"/>
                                  <w:sz w:val="16"/>
                                  <w:szCs w:val="16"/>
                                </w:rPr>
                                <w:fldChar w:fldCharType="separate"/>
                              </w:r>
                              <w:r>
                                <w:rPr>
                                  <w:rFonts w:ascii="Times New Roman" w:hAnsi="Times New Roman" w:cs="Times New Roman"/>
                                  <w:noProof/>
                                  <w:sz w:val="16"/>
                                  <w:szCs w:val="16"/>
                                </w:rPr>
                                <w:t>1</w:t>
                              </w:r>
                              <w:r w:rsidRPr="00A866AA">
                                <w:rPr>
                                  <w:rFonts w:ascii="Times New Roman" w:hAnsi="Times New Roman" w:cs="Times New Roman"/>
                                  <w:sz w:val="16"/>
                                  <w:szCs w:val="16"/>
                                </w:rPr>
                                <w:fldChar w:fldCharType="end"/>
                              </w:r>
                              <w:r>
                                <w:rPr>
                                  <w:rFonts w:ascii="Times New Roman" w:hAnsi="Times New Roman" w:cs="Times New Roman"/>
                                  <w:sz w:val="16"/>
                                  <w:szCs w:val="16"/>
                                </w:rPr>
                                <w:t>/6</w:t>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A01490F" id="Retângulo 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" o:allowincell="f" stroked="f">
                  <v:textbox>
                    <w:txbxContent>
                      <w:p w14:paraId="5A09FE6A" w14:textId="77777777" w:rsidR="00CF4FA0" w:rsidRPr="00A866AA" w:rsidRDefault="00CF4FA0">
                        <w:pPr>
                          <w:pBdr>
                            <w:bottom w:val="single" w:sz="4" w:space="1" w:color="auto"/>
                          </w:pBdr>
                          <w:rPr>
                            <w:rFonts w:ascii="Times New Roman" w:hAnsi="Times New Roman" w:cs="Times New Roman"/>
                            <w:sz w:val="16"/>
                            <w:szCs w:val="16"/>
                          </w:rPr>
                        </w:pPr>
                        <w:r w:rsidRPr="00A866AA">
                          <w:rPr>
                            <w:rFonts w:ascii="Times New Roman" w:hAnsi="Times New Roman" w:cs="Times New Roman"/>
                            <w:sz w:val="16"/>
                            <w:szCs w:val="16"/>
                          </w:rPr>
                          <w:fldChar w:fldCharType="begin"/>
                        </w:r>
                        <w:r w:rsidRPr="00A866AA">
                          <w:rPr>
                            <w:rFonts w:ascii="Times New Roman" w:hAnsi="Times New Roman" w:cs="Times New Roman"/>
                            <w:sz w:val="16"/>
                            <w:szCs w:val="16"/>
                          </w:rPr>
                          <w:instrText>PAGE   \* MERGEFORMAT</w:instrText>
                        </w:r>
                        <w:r w:rsidRPr="00A866AA">
                          <w:rPr>
                            <w:rFonts w:ascii="Times New Roman" w:hAnsi="Times New Roman" w:cs="Times New Roman"/>
                            <w:sz w:val="16"/>
                            <w:szCs w:val="16"/>
                          </w:rPr>
                          <w:fldChar w:fldCharType="separate"/>
                        </w:r>
                        <w:r>
                          <w:rPr>
                            <w:rFonts w:ascii="Times New Roman" w:hAnsi="Times New Roman" w:cs="Times New Roman"/>
                            <w:noProof/>
                            <w:sz w:val="16"/>
                            <w:szCs w:val="16"/>
                          </w:rPr>
                          <w:t>1</w:t>
                        </w:r>
                        <w:r w:rsidRPr="00A866AA">
                          <w:rPr>
                            <w:rFonts w:ascii="Times New Roman" w:hAnsi="Times New Roman" w:cs="Times New Roman"/>
                            <w:sz w:val="16"/>
                            <w:szCs w:val="16"/>
                          </w:rPr>
                          <w:fldChar w:fldCharType="end"/>
                        </w:r>
                        <w:r>
                          <w:rPr>
                            <w:rFonts w:ascii="Times New Roman" w:hAnsi="Times New Roman" w:cs="Times New Roman"/>
                            <w:sz w:val="16"/>
                            <w:szCs w:val="16"/>
                          </w:rPr>
                          <w:t>/6</w:t>
                        </w:r>
                      </w:p>
                    </w:txbxContent>
                  </v:textbox>
                  <w10:wrap anchorx="margin" anchory="margin"/>
                </v:rect>
              </w:pict>
            </mc:Fallback>
          </mc:AlternateContent>
        </w:r>
      </w:sdtContent>
    </w:sdt>
    <w:r>
      <w:rPr>
        <w:noProof/>
        <w:lang w:eastAsia="pt-BR"/>
      </w:rPr>
      <w:drawing>
        <wp:inline distT="0" distB="0" distL="0" distR="0" wp14:anchorId="6EECD430" wp14:editId="0E9518DF">
          <wp:extent cx="480060" cy="595275"/>
          <wp:effectExtent l="0" t="0" r="0" b="0"/>
          <wp:docPr id="1389119671" name="Imagem 138911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118D1BFD" w14:textId="77777777" w:rsidR="00CF4FA0" w:rsidRPr="003527CF" w:rsidRDefault="00CF4FA0">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3527CF">
      <w:rPr>
        <w:rFonts w:ascii="Times New Roman" w:eastAsia="Times New Roman" w:hAnsi="Times New Roman" w:cs="Times New Roman"/>
        <w:b/>
        <w:bCs/>
        <w:sz w:val="28"/>
        <w:szCs w:val="28"/>
        <w:lang w:eastAsia="ar-SA"/>
      </w:rPr>
      <w:t>Câmara Municipal de Niterói</w:t>
    </w:r>
  </w:p>
  <w:p w14:paraId="6D777CCB" w14:textId="77777777" w:rsidR="00CF4FA0" w:rsidRPr="003527CF" w:rsidRDefault="00CF4FA0">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3527CF">
      <w:rPr>
        <w:rFonts w:ascii="Times New Roman" w:eastAsia="Times New Roman" w:hAnsi="Times New Roman" w:cs="Times New Roman"/>
        <w:b/>
        <w:bCs/>
        <w:sz w:val="28"/>
        <w:szCs w:val="28"/>
        <w:lang w:eastAsia="ar-SA"/>
      </w:rPr>
      <w:t>Gabinete Vereador Douglas Gomes</w:t>
    </w:r>
  </w:p>
  <w:p w14:paraId="1BFB6751" w14:textId="77777777" w:rsidR="00CF4FA0" w:rsidRDefault="00CF4FA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CC92" w14:textId="77777777" w:rsidR="00CF4FA0" w:rsidRDefault="00CF4FA0">
    <w:pPr>
      <w:pBdr>
        <w:bottom w:val="single" w:sz="4" w:space="1" w:color="auto"/>
      </w:pBdr>
      <w:spacing w:after="0" w:line="240" w:lineRule="auto"/>
      <w:jc w:val="center"/>
    </w:pPr>
    <w:r>
      <w:rPr>
        <w:noProof/>
        <w:lang w:eastAsia="pt-BR"/>
      </w:rPr>
      <w:drawing>
        <wp:inline distT="0" distB="0" distL="0" distR="0" wp14:anchorId="08E7D7FD" wp14:editId="4155C87F">
          <wp:extent cx="600075" cy="744094"/>
          <wp:effectExtent l="0" t="0" r="0" b="0"/>
          <wp:docPr id="886543644" name="Imagem 88654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7F61A20D" w14:textId="77777777" w:rsidR="00CF4FA0" w:rsidRDefault="00CF4FA0">
    <w:pPr>
      <w:pBdr>
        <w:bottom w:val="single" w:sz="4" w:space="1" w:color="auto"/>
      </w:pBdr>
      <w:spacing w:after="0" w:line="240" w:lineRule="auto"/>
      <w:jc w:val="center"/>
    </w:pPr>
    <w:r>
      <w:t>Câmara Municipal de Niterói</w:t>
    </w:r>
  </w:p>
  <w:p w14:paraId="5F92C295" w14:textId="77777777" w:rsidR="00CF4FA0" w:rsidRDefault="00CF4FA0">
    <w:pPr>
      <w:pBdr>
        <w:bottom w:val="single" w:sz="4" w:space="1" w:color="auto"/>
      </w:pBdr>
      <w:spacing w:after="0" w:line="240" w:lineRule="auto"/>
      <w:jc w:val="center"/>
    </w:pPr>
    <w:r>
      <w:t xml:space="preserve">Gabinete do Vereador – Daniel Marques – PV </w:t>
    </w:r>
  </w:p>
  <w:p w14:paraId="1C3FC3B2" w14:textId="77777777" w:rsidR="00CF4FA0" w:rsidRPr="00B7530A" w:rsidRDefault="00CF4FA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066"/>
    <w:rsid w:val="00493491"/>
    <w:rsid w:val="005D7066"/>
    <w:rsid w:val="008E03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2D410"/>
  <w15:chartTrackingRefBased/>
  <w15:docId w15:val="{0F15993B-B442-4B7D-834E-2E1319613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066"/>
    <w:pPr>
      <w:spacing w:after="200" w:line="276" w:lineRule="auto"/>
    </w:pPr>
    <w:rPr>
      <w:kern w:val="0"/>
      <w:sz w:val="22"/>
      <w:szCs w:val="22"/>
      <w14:ligatures w14:val="none"/>
    </w:rPr>
  </w:style>
  <w:style w:type="paragraph" w:styleId="Ttulo1">
    <w:name w:val="heading 1"/>
    <w:basedOn w:val="Normal"/>
    <w:next w:val="Normal"/>
    <w:link w:val="Ttulo1Char"/>
    <w:uiPriority w:val="9"/>
    <w:qFormat/>
    <w:rsid w:val="005D706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5D706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5D706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5D7066"/>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5D7066"/>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5D706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5D706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5D706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5D706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D706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D706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D706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D706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D706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D706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D706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D706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D7066"/>
    <w:rPr>
      <w:rFonts w:eastAsiaTheme="majorEastAsia" w:cstheme="majorBidi"/>
      <w:color w:val="272727" w:themeColor="text1" w:themeTint="D8"/>
    </w:rPr>
  </w:style>
  <w:style w:type="paragraph" w:styleId="Ttulo">
    <w:name w:val="Title"/>
    <w:basedOn w:val="Normal"/>
    <w:next w:val="Normal"/>
    <w:link w:val="TtuloChar"/>
    <w:uiPriority w:val="10"/>
    <w:qFormat/>
    <w:rsid w:val="005D706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5D70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D7066"/>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5D706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D7066"/>
    <w:pPr>
      <w:spacing w:before="160" w:after="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5D7066"/>
    <w:rPr>
      <w:i/>
      <w:iCs/>
      <w:color w:val="404040" w:themeColor="text1" w:themeTint="BF"/>
    </w:rPr>
  </w:style>
  <w:style w:type="paragraph" w:styleId="PargrafodaLista">
    <w:name w:val="List Paragraph"/>
    <w:basedOn w:val="Normal"/>
    <w:uiPriority w:val="34"/>
    <w:qFormat/>
    <w:rsid w:val="005D7066"/>
    <w:pPr>
      <w:spacing w:after="160" w:line="278" w:lineRule="auto"/>
      <w:ind w:left="720"/>
      <w:contextualSpacing/>
    </w:pPr>
    <w:rPr>
      <w:kern w:val="2"/>
      <w:sz w:val="24"/>
      <w:szCs w:val="24"/>
      <w14:ligatures w14:val="standardContextual"/>
    </w:rPr>
  </w:style>
  <w:style w:type="character" w:styleId="nfaseIntensa">
    <w:name w:val="Intense Emphasis"/>
    <w:basedOn w:val="Fontepargpadro"/>
    <w:uiPriority w:val="21"/>
    <w:qFormat/>
    <w:rsid w:val="005D7066"/>
    <w:rPr>
      <w:i/>
      <w:iCs/>
      <w:color w:val="0F4761" w:themeColor="accent1" w:themeShade="BF"/>
    </w:rPr>
  </w:style>
  <w:style w:type="paragraph" w:styleId="CitaoIntensa">
    <w:name w:val="Intense Quote"/>
    <w:basedOn w:val="Normal"/>
    <w:next w:val="Normal"/>
    <w:link w:val="CitaoIntensaChar"/>
    <w:uiPriority w:val="30"/>
    <w:qFormat/>
    <w:rsid w:val="005D706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5D7066"/>
    <w:rPr>
      <w:i/>
      <w:iCs/>
      <w:color w:val="0F4761" w:themeColor="accent1" w:themeShade="BF"/>
    </w:rPr>
  </w:style>
  <w:style w:type="character" w:styleId="RefernciaIntensa">
    <w:name w:val="Intense Reference"/>
    <w:basedOn w:val="Fontepargpadro"/>
    <w:uiPriority w:val="32"/>
    <w:qFormat/>
    <w:rsid w:val="005D7066"/>
    <w:rPr>
      <w:b/>
      <w:bCs/>
      <w:smallCaps/>
      <w:color w:val="0F4761" w:themeColor="accent1" w:themeShade="BF"/>
      <w:spacing w:val="5"/>
    </w:rPr>
  </w:style>
  <w:style w:type="paragraph" w:styleId="Cabealho">
    <w:name w:val="header"/>
    <w:basedOn w:val="Normal"/>
    <w:link w:val="CabealhoChar"/>
    <w:uiPriority w:val="99"/>
    <w:unhideWhenUsed/>
    <w:rsid w:val="005D70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D7066"/>
    <w:rPr>
      <w:kern w:val="0"/>
      <w:sz w:val="22"/>
      <w:szCs w:val="22"/>
      <w14:ligatures w14:val="none"/>
    </w:rPr>
  </w:style>
  <w:style w:type="paragraph" w:styleId="Rodap">
    <w:name w:val="footer"/>
    <w:basedOn w:val="Normal"/>
    <w:link w:val="RodapChar"/>
    <w:uiPriority w:val="99"/>
    <w:unhideWhenUsed/>
    <w:rsid w:val="005D7066"/>
    <w:pPr>
      <w:tabs>
        <w:tab w:val="center" w:pos="4252"/>
        <w:tab w:val="right" w:pos="8504"/>
      </w:tabs>
      <w:spacing w:after="0" w:line="240" w:lineRule="auto"/>
    </w:pPr>
  </w:style>
  <w:style w:type="character" w:customStyle="1" w:styleId="RodapChar">
    <w:name w:val="Rodapé Char"/>
    <w:basedOn w:val="Fontepargpadro"/>
    <w:link w:val="Rodap"/>
    <w:uiPriority w:val="99"/>
    <w:rsid w:val="005D7066"/>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1721</Words>
  <Characters>9299</Characters>
  <Application>Microsoft Office Word</Application>
  <DocSecurity>0</DocSecurity>
  <Lines>77</Lines>
  <Paragraphs>21</Paragraphs>
  <ScaleCrop>false</ScaleCrop>
  <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Rodrigues</dc:creator>
  <cp:keywords/>
  <dc:description/>
  <cp:lastModifiedBy>Daniel Rodrigues</cp:lastModifiedBy>
  <cp:revision>1</cp:revision>
  <cp:lastPrinted>2026-05-26T18:43:00Z</cp:lastPrinted>
  <dcterms:created xsi:type="dcterms:W3CDTF">2026-05-26T18:41:00Z</dcterms:created>
  <dcterms:modified xsi:type="dcterms:W3CDTF">2026-05-26T18:51:00Z</dcterms:modified>
</cp:coreProperties>
</file>