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8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       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3969" w:firstLine="0"/>
        <w:jc w:val="both"/>
        <w:rPr>
          <w:sz w:val="24"/>
          <w:szCs w:val="24"/>
        </w:rPr>
      </w:pPr>
      <w:bookmarkStart w:colFirst="0" w:colLast="0" w:name="_heading=h.kvsgsu6lqc1h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Sugere a implementação do Centro de Referência para Altas Habilidades/Superdotação no Município de Niterói.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Indico à Mesa, na forma regimental, que seja enviado ofício ao Exmo. Prefeito Municipal para que envide os esforços necessários, junto à, a fim de promover a implementação das ações previstas na Emenda Parlamentar nº 331, aprovada no programa “Educação para Todos”, destinada à criação do Centro de Referência para Altas Habilidades/Superdotação no Município de Niterói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indicação visa fortalecer as políticas públicas voltadas às pessoas com Altas Habilidades/Superdotação (AH/SD) no Município de Niterói, considerando a crescente demanda social por atendimento especializado, identificação adequada e suporte às famílias e estudantes desta população.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Parlamentar nº 331 foi aprovada com destinação parcial de recursos no valor de R$ 100.000,00 (cem mil reais), objetivando a criação de um Centro de Referência para Altas Habilidades/Superdotação, iniciativa estratégica para estruturação de políticas públicas educacionais inclusivas e alinhadas às diretrizes contemporâneas da educação especial.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demanda foi amplamente debatida durante audiência pública realizada em 05 de maio de 2026, que reuniu famílias, pesquisadoras, profissionais da educação e movimentos organizados, evidenciando a necessidade de implementação de equipamentos e serviços especializados voltados a esta população.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ocasião, também foi apresentado abaixo-assinado com mais de 1.100 assinaturas em defesa da criação do referido Centro de Referência, demonstrando o relevante interesse público e a mobilização da sociedade civil em torno do tema.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debate nacional sobre Altas Habilidades/Superdotação igualmente vem avançando. Recentemente, a aprovou proposta de criação da Política Nacional e do Cadastro Nacional de Estudantes com Altas Habilidades/Superdotação, visando assegurar atendimento especializado e ampliar os mecanismos de identificação desta população.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Dados do Censo Escolar de 2025 apontam significativa subnotificação de estudantes com Altas Habilidades/Superdotação em todo o país, reforçando a necessidade de os municípios estruturarem políticas específicas, inclusive com núcleos e centros de referência especializados.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Considerando que municípios brasileiros já vêm avançando nesta pauta, como o Município de, que recentemente aprovou política municipal específica para pessoas com Altas Habilidades/Superdotação.</w:t>
      </w:r>
    </w:p>
    <w:p w:rsidR="00000000" w:rsidDel="00000000" w:rsidP="00000000" w:rsidRDefault="00000000" w:rsidRPr="00000000" w14:paraId="00000013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Dessa forma, a implementação da referida emenda representa importante passo para consolidar uma política pública de inclusão educacional, valorização de potencialidades e garantia de direitos das pessoas com Altas Habilidades/Superdotação no Município de Niterói.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sz w:val="24"/>
          <w:szCs w:val="24"/>
        </w:rPr>
      </w:pPr>
      <w:bookmarkStart w:colFirst="0" w:colLast="0" w:name="_heading=h.9cx3q9qurp74" w:id="1"/>
      <w:bookmarkEnd w:id="1"/>
      <w:r w:rsidDel="00000000" w:rsidR="00000000" w:rsidRPr="00000000">
        <w:rPr>
          <w:sz w:val="24"/>
          <w:szCs w:val="24"/>
          <w:rtl w:val="0"/>
        </w:rPr>
        <w:t xml:space="preserve">Plenário Brígido Tinoco, 20 de maio de 2026.</w:t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bookmarkStart w:colFirst="0" w:colLast="0" w:name="_heading=h.gjdgxs" w:id="2"/>
      <w:bookmarkEnd w:id="2"/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bookmarkStart w:colFirst="0" w:colLast="0" w:name="_heading=h.jv5xpbua474p" w:id="3"/>
          <w:bookmarkEnd w:id="3"/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XLOt8SfFLz29fuvwDKEYz6F+RQ==">CgMxLjAyDmgua3ZzZ3N1NmxxYzFoMg5oLjljeDNxOXF1cnA3NDIIaC5namRneHMyDmguanY1eHBidWE0NzRwOAByITFYZ3R4NkQtN29KTXV3dDRYLV8xTkRzekNmVWlsX1FUQQ==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