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PROJETO DE LEI Nº        /2026</w:t>
      </w:r>
    </w:p>
    <w:p w:rsidR="00000000" w:rsidDel="00000000" w:rsidP="00000000" w:rsidRDefault="00000000" w:rsidRPr="00000000" w14:paraId="00000002">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3">
      <w:pPr>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line="240" w:lineRule="auto"/>
        <w:ind w:left="3968.503937007874"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Dispõe sobre a política de transparência, monitoramento e execução das compensações ambientais decorrentes de supressão de indivíduos arbóreos, institui o Termo de Compromisso de Recuperação Ambiental (TCRA) e dá outras providências.</w:t>
      </w:r>
    </w:p>
    <w:p w:rsidR="00000000" w:rsidDel="00000000" w:rsidP="00000000" w:rsidRDefault="00000000" w:rsidRPr="00000000" w14:paraId="0000000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7">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1º Fica instituída a política de acesso à informação, publicidade e monitoramento das compensações ambientais provenientes de cortes de árvores no Município de Niterói, como etapa complementar ao processo de autorização e supressão regulado pela legislação vigente.</w:t>
      </w:r>
    </w:p>
    <w:p w:rsidR="00000000" w:rsidDel="00000000" w:rsidP="00000000" w:rsidRDefault="00000000" w:rsidRPr="00000000" w14:paraId="00000008">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Parágrafo único. O acesso à informação, à publicidade e ao monitoramento das compensações ambientais constituem informações de interesse público, essenciais à preservação do meio ambiente urbano, à recuperação da Mata Atlântica e ao controle social.</w:t>
      </w:r>
    </w:p>
    <w:p w:rsidR="00000000" w:rsidDel="00000000" w:rsidP="00000000" w:rsidRDefault="00000000" w:rsidRPr="00000000" w14:paraId="00000009">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2º As compensações ambientais advindas de cortes de árvores autorizados pelo Poder Executivo Municipal deverão ser cumpridas mediante as seguintes modalidades, de forma isolada ou cumulativa:</w:t>
      </w:r>
    </w:p>
    <w:p w:rsidR="00000000" w:rsidDel="00000000" w:rsidP="00000000" w:rsidRDefault="00000000" w:rsidRPr="00000000" w14:paraId="0000000A">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 – prioritariamente, por meio do plantio de mudas de espécies arbóreas nativas da Mata Atlântica, preferencialmente na mesma bacia hidrográfica ou região administrativa onde foi realizado o corte, podendo adotar a metodologia de Florestas de Bolso ou reflorestamento tradicional;</w:t>
      </w:r>
    </w:p>
    <w:p w:rsidR="00000000" w:rsidDel="00000000" w:rsidP="00000000" w:rsidRDefault="00000000" w:rsidRPr="00000000" w14:paraId="0000000B">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 – mediante compensação financeira ou por outro meio permitido em lei, devendo ser formalizada, obrigatoriamente, através de Termo de Compromisso de Recuperação Ambiental (TCRA), instrumento jurídico administrativo instituído por esta Lei, que conterá as informações relativas ao processo que originou a autorização ambiental, a exigência de reposição, os prazos e a forma de cumprimento da obrigação.</w:t>
      </w:r>
    </w:p>
    <w:p w:rsidR="00000000" w:rsidDel="00000000" w:rsidP="00000000" w:rsidRDefault="00000000" w:rsidRPr="00000000" w14:paraId="0000000C">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3º O plantio de mudas de espécies arbóreas nativas, previsto no inciso I do art. 2º desta Lei, deverá ser precedido da apresentação de projeto elaborado por profissional habilitado, acompanhado da respectiva Anotação de Responsabilidade Técnica (ART).</w:t>
      </w:r>
    </w:p>
    <w:p w:rsidR="00000000" w:rsidDel="00000000" w:rsidP="00000000" w:rsidRDefault="00000000" w:rsidRPr="00000000" w14:paraId="0000000D">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 1º O projeto de que trata o caput deverá conter a metodologia de plantio, o plano de manutenção, a localização georreferenciada da área e o cronograma de execução das atividades.</w:t>
      </w:r>
    </w:p>
    <w:p w:rsidR="00000000" w:rsidDel="00000000" w:rsidP="00000000" w:rsidRDefault="00000000" w:rsidRPr="00000000" w14:paraId="0000000E">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 2º A execução do plantio e das medidas de recuperação ambiental deverá ocorrer no prazo máximo de cento e oitenta dias, contados a partir da data da assinatura do Termo de Compromisso de Recuperação Ambiental ou da efetiva supressão da árvore, o que ocorrer por último.</w:t>
      </w:r>
    </w:p>
    <w:p w:rsidR="00000000" w:rsidDel="00000000" w:rsidP="00000000" w:rsidRDefault="00000000" w:rsidRPr="00000000" w14:paraId="0000000F">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 3º Nos casos de supressão de exemplares arbóreos de grande porte, espécies ameaçadas de extinção, localizados em áreas com déficit de cobertura vegetal ou que prestem serviços ecossistêmicos críticos, a compensação será considerada agravada e deverá obrigatoriamente observar os seguintes parâmetros:</w:t>
      </w:r>
    </w:p>
    <w:p w:rsidR="00000000" w:rsidDel="00000000" w:rsidP="00000000" w:rsidRDefault="00000000" w:rsidRPr="00000000" w14:paraId="00000010">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 – plantio de mudas nativas de grande porte, com altura mínima a ser regulamentada pelo Poder Executivo;</w:t>
      </w:r>
    </w:p>
    <w:p w:rsidR="00000000" w:rsidDel="00000000" w:rsidP="00000000" w:rsidRDefault="00000000" w:rsidRPr="00000000" w14:paraId="00000011">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 – manutenção garantida das mudas plantadas pelo período mínimo de 03 (três) anos, podendo chegar a 05 (cinco) anos a critério do órgão ambiental;</w:t>
      </w:r>
    </w:p>
    <w:p w:rsidR="00000000" w:rsidDel="00000000" w:rsidP="00000000" w:rsidRDefault="00000000" w:rsidRPr="00000000" w14:paraId="00000012">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III – implantação, na área de compensação ou entorno, de infraestrutura verde, compreendendo Soluções Baseadas na Natureza (SbN), tais como jardins de chuva, biorretenção ou permeabilização do solo, dimensionados conforme a área de contribuição e intensidade de chuva de projeto; e</w:t>
      </w:r>
    </w:p>
    <w:p w:rsidR="00000000" w:rsidDel="00000000" w:rsidP="00000000" w:rsidRDefault="00000000" w:rsidRPr="00000000" w14:paraId="00000013">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IV – comprovação de índice de copa-alvo (m²) para recompor sombra e conforto térmico local, conforme diretrizes técnicas a serem estabelecidas em regulamento.</w:t>
      </w:r>
    </w:p>
    <w:p w:rsidR="00000000" w:rsidDel="00000000" w:rsidP="00000000" w:rsidRDefault="00000000" w:rsidRPr="00000000" w14:paraId="00000014">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4º A publicidade das compensações ambientais se dará por meio de plataforma digital com mapa ou mediante a disponibilização regular de relatórios atualizados, de modo a assegurar as seguintes funcionalidades:</w:t>
      </w:r>
    </w:p>
    <w:p w:rsidR="00000000" w:rsidDel="00000000" w:rsidP="00000000" w:rsidRDefault="00000000" w:rsidRPr="00000000" w14:paraId="00000015">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 – acesso público às informações detalhadas de toda a programação de manejo de árvores públicas; </w:t>
      </w:r>
    </w:p>
    <w:p w:rsidR="00000000" w:rsidDel="00000000" w:rsidP="00000000" w:rsidRDefault="00000000" w:rsidRPr="00000000" w14:paraId="00000016">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 - acesso às informações detalhadas de todas as compensações ambientais realizadas, com a geolocalização e dados sobre as espécies plantadas;</w:t>
      </w:r>
    </w:p>
    <w:p w:rsidR="00000000" w:rsidDel="00000000" w:rsidP="00000000" w:rsidRDefault="00000000" w:rsidRPr="00000000" w14:paraId="00000017">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III – rastreamento de mudas plantadas, identificando as espécies arbóreas e possibilitando a verificação da manutenção e do crescimento das mesmas;</w:t>
      </w:r>
    </w:p>
    <w:p w:rsidR="00000000" w:rsidDel="00000000" w:rsidP="00000000" w:rsidRDefault="00000000" w:rsidRPr="00000000" w14:paraId="00000018">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IV – histórico de intervenções arbóreas, como retiradas, podas e cortes de árvores, com justificativa técnica e os responsáveis por cada ação, devidamente apresentados por região e bairro; e</w:t>
      </w:r>
    </w:p>
    <w:p w:rsidR="00000000" w:rsidDel="00000000" w:rsidP="00000000" w:rsidRDefault="00000000" w:rsidRPr="00000000" w14:paraId="00000019">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V – mecanismo de participação cidadã para a denúncia de descumprimentos ou de irregularidades nos plantios e manutenções ambientais.</w:t>
      </w:r>
    </w:p>
    <w:p w:rsidR="00000000" w:rsidDel="00000000" w:rsidP="00000000" w:rsidRDefault="00000000" w:rsidRPr="00000000" w14:paraId="0000001A">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5º A plataforma digital de que trata o art. 4º deverá disponibilizar demonstrativos detalhados de todas as compensações ambientais provenientes de cortes de árvores, incluindo aquelas realizadas nos cinco anos anteriores à vigência desta Lei.</w:t>
      </w:r>
    </w:p>
    <w:p w:rsidR="00000000" w:rsidDel="00000000" w:rsidP="00000000" w:rsidRDefault="00000000" w:rsidRPr="00000000" w14:paraId="0000001B">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 1º Os demonstrativos deverão conter, no mínimo:</w:t>
      </w:r>
    </w:p>
    <w:p w:rsidR="00000000" w:rsidDel="00000000" w:rsidP="00000000" w:rsidRDefault="00000000" w:rsidRPr="00000000" w14:paraId="0000001C">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 – data da autorização de corte;</w:t>
      </w:r>
    </w:p>
    <w:p w:rsidR="00000000" w:rsidDel="00000000" w:rsidP="00000000" w:rsidRDefault="00000000" w:rsidRPr="00000000" w14:paraId="0000001D">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 – quantidade e espécies de árvores cortadas;</w:t>
      </w:r>
    </w:p>
    <w:p w:rsidR="00000000" w:rsidDel="00000000" w:rsidP="00000000" w:rsidRDefault="00000000" w:rsidRPr="00000000" w14:paraId="0000001E">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III – mapa ou localização georreferenciada dos pontos de corte;</w:t>
      </w:r>
    </w:p>
    <w:p w:rsidR="00000000" w:rsidDel="00000000" w:rsidP="00000000" w:rsidRDefault="00000000" w:rsidRPr="00000000" w14:paraId="0000001F">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IV – tipo de compensação ambiental adotada (plantio, Floresta de Bolso ou financeira);</w:t>
      </w:r>
    </w:p>
    <w:p w:rsidR="00000000" w:rsidDel="00000000" w:rsidP="00000000" w:rsidRDefault="00000000" w:rsidRPr="00000000" w14:paraId="00000020">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V – status atual de cumprimento da obrigação (pendente, em andamento ou concluída);</w:t>
      </w:r>
    </w:p>
    <w:p w:rsidR="00000000" w:rsidDel="00000000" w:rsidP="00000000" w:rsidRDefault="00000000" w:rsidRPr="00000000" w14:paraId="00000021">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VI – no caso de plantio de mudas: localização georreferenciada do plantio, espécies utilizadas e data da execução; e</w:t>
      </w:r>
    </w:p>
    <w:p w:rsidR="00000000" w:rsidDel="00000000" w:rsidP="00000000" w:rsidRDefault="00000000" w:rsidRPr="00000000" w14:paraId="00000022">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VII – no caso de compensação financeira: valor pago, data do recolhimento e a destinação detalhada dos recursos.</w:t>
      </w:r>
    </w:p>
    <w:p w:rsidR="00000000" w:rsidDel="00000000" w:rsidP="00000000" w:rsidRDefault="00000000" w:rsidRPr="00000000" w14:paraId="00000023">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 2º O Poder Executivo deverá garantir a publicação dos demonstrativos referentes aos cortes ocorridos nos cinco anos anteriores à vigência desta Lei.</w:t>
      </w:r>
    </w:p>
    <w:p w:rsidR="00000000" w:rsidDel="00000000" w:rsidP="00000000" w:rsidRDefault="00000000" w:rsidRPr="00000000" w14:paraId="00000024">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6º As despesas decorrentes da execução desta Lei correrão por conta de dotações orçamentárias próprias, suplementadas se necessário.</w:t>
      </w:r>
    </w:p>
    <w:p w:rsidR="00000000" w:rsidDel="00000000" w:rsidP="00000000" w:rsidRDefault="00000000" w:rsidRPr="00000000" w14:paraId="00000025">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7º O Poder Executivo regulamentará esta Lei no</w:t>
      </w:r>
      <w:r w:rsidDel="00000000" w:rsidR="00000000" w:rsidRPr="00000000">
        <w:rPr>
          <w:rFonts w:ascii="Arial" w:cs="Arial" w:eastAsia="Arial" w:hAnsi="Arial"/>
          <w:rtl w:val="0"/>
        </w:rPr>
        <w:t xml:space="preserve"> que couber</w:t>
      </w:r>
      <w:r w:rsidDel="00000000" w:rsidR="00000000" w:rsidRPr="00000000">
        <w:rPr>
          <w:rFonts w:ascii="Arial" w:cs="Arial" w:eastAsia="Arial" w:hAnsi="Arial"/>
          <w:rtl w:val="0"/>
        </w:rPr>
        <w:t xml:space="preserve">, definindo as diretrizes técnicas para a implementação das Florestas de Bolso, os critérios para a compensação agravada e a integração dos dados deste sistema de monitoramento com o sistema de publicação prévia de autorização.</w:t>
      </w:r>
    </w:p>
    <w:p w:rsidR="00000000" w:rsidDel="00000000" w:rsidP="00000000" w:rsidRDefault="00000000" w:rsidRPr="00000000" w14:paraId="00000026">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Art. 8º Esta Lei entra em vigor na data de sua publicação.</w:t>
      </w:r>
    </w:p>
    <w:p w:rsidR="00000000" w:rsidDel="00000000" w:rsidP="00000000" w:rsidRDefault="00000000" w:rsidRPr="00000000" w14:paraId="00000027">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line="360" w:lineRule="auto"/>
        <w:jc w:val="right"/>
        <w:rPr>
          <w:rFonts w:ascii="Arial" w:cs="Arial" w:eastAsia="Arial" w:hAnsi="Arial"/>
        </w:rPr>
      </w:pPr>
      <w:r w:rsidDel="00000000" w:rsidR="00000000" w:rsidRPr="00000000">
        <w:rPr>
          <w:rFonts w:ascii="Arial" w:cs="Arial" w:eastAsia="Arial" w:hAnsi="Arial"/>
          <w:rtl w:val="0"/>
        </w:rPr>
        <w:t xml:space="preserve">Plenário Brígido Tinoco, 20 de maio de 2026</w:t>
      </w:r>
    </w:p>
    <w:p w:rsidR="00000000" w:rsidDel="00000000" w:rsidP="00000000" w:rsidRDefault="00000000" w:rsidRPr="00000000" w14:paraId="00000029">
      <w:pPr>
        <w:spacing w:line="360" w:lineRule="auto"/>
        <w:jc w:val="right"/>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2A">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2B">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2C">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Professor Tulio</w:t>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pStyle w:val="Heading3"/>
        <w:spacing w:line="360" w:lineRule="auto"/>
        <w:jc w:val="both"/>
        <w:rPr>
          <w:rFonts w:ascii="Arial" w:cs="Arial" w:eastAsia="Arial" w:hAnsi="Arial"/>
          <w:sz w:val="24"/>
          <w:szCs w:val="24"/>
        </w:rPr>
      </w:pPr>
      <w:bookmarkStart w:colFirst="0" w:colLast="0" w:name="_2g9ucrbs10el" w:id="0"/>
      <w:bookmarkEnd w:id="0"/>
      <w:r w:rsidDel="00000000" w:rsidR="00000000" w:rsidRPr="00000000">
        <w:rPr>
          <w:rFonts w:ascii="Arial" w:cs="Arial" w:eastAsia="Arial" w:hAnsi="Arial"/>
          <w:sz w:val="24"/>
          <w:szCs w:val="24"/>
          <w:rtl w:val="0"/>
        </w:rPr>
        <w:t xml:space="preserve">JUSTIFICATIVA</w:t>
      </w:r>
    </w:p>
    <w:p w:rsidR="00000000" w:rsidDel="00000000" w:rsidP="00000000" w:rsidRDefault="00000000" w:rsidRPr="00000000" w14:paraId="0000002F">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O presente Projeto de Lei institui uma política avançada de transparência e eficiência para a arborização urbana de Niterói, unificando em um único diploma legal a necessidade de controle social com técnicas modernas de restauração ecológica.</w:t>
      </w:r>
    </w:p>
    <w:p w:rsidR="00000000" w:rsidDel="00000000" w:rsidP="00000000" w:rsidRDefault="00000000" w:rsidRPr="00000000" w14:paraId="00000030">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Inspirado na Lei nº 9.398/2026, da Cidade do Rio de Janeiro, este projeto avança ao incorporar conceitos essenciais para a realidade de Niterói, alinhando-se às metas de adaptação climática e sustentabilidade urbana.</w:t>
      </w:r>
    </w:p>
    <w:p w:rsidR="00000000" w:rsidDel="00000000" w:rsidP="00000000" w:rsidRDefault="00000000" w:rsidRPr="00000000" w14:paraId="00000031">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A proposta inova ao criar o Termo de Compromisso de Recuperação Ambiental (TCRA) como instrumento jurídico obrigatório no âmbito municipal, dando segurança jurídica à compensação e transformando a promessa de replantio em um título executivo, o que inexistia na legislação local.</w:t>
      </w:r>
    </w:p>
    <w:p w:rsidR="00000000" w:rsidDel="00000000" w:rsidP="00000000" w:rsidRDefault="00000000" w:rsidRPr="00000000" w14:paraId="00000032">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Além disso, o projeto integra metodologias inovadoras e robustas para garantir que a compensação ambiental não seja apenas um ato burocrático, mas um ganho real para a cidade. O texto prevê expressamente a utilização dessa metodologia de plantio adensado, as Florestas de Bolso, que acelera a sucessão ecológica e maximiza os benefícios ambientais em pequenos espaços urbanos, como praças e canteiros centrais. Reconhecendo que nem todas as árvores têm o mesmo valor ambiental, o projeto estabelece critérios claros para quando a compensação deve ser mais robusta (casos de árvores notáveis, de grande porte ou em áreas deficitárias). Nestes casos, exige-se não apenas o replantio, mas a manutenção garantida de 3 a 5 anos (evitando a alta mortalidade de mudas) e a implementação de infraestrutura verde, como jardins de chuva e desimpermeabilização, combatendo as ilhas de calor e as enchentes. A obrigatoriedade de uma plataforma digital de monitoramento, com previsão de manejo e dados históricos dos últimos cinco anos e geolocalização precisa através de mapa, facilitando a visualização, permite que o cidadão niteroiense fiscalize se a "dívida ambiental" de cada corte foi devidamente paga.</w:t>
      </w:r>
    </w:p>
    <w:p w:rsidR="00000000" w:rsidDel="00000000" w:rsidP="00000000" w:rsidRDefault="00000000" w:rsidRPr="00000000" w14:paraId="00000033">
      <w:pPr>
        <w:spacing w:line="360" w:lineRule="auto"/>
        <w:ind w:firstLine="720"/>
        <w:jc w:val="both"/>
        <w:rPr>
          <w:rFonts w:ascii="Arial" w:cs="Arial" w:eastAsia="Arial" w:hAnsi="Arial"/>
          <w:color w:val="0d0d0d"/>
        </w:rPr>
      </w:pPr>
      <w:r w:rsidDel="00000000" w:rsidR="00000000" w:rsidRPr="00000000">
        <w:rPr>
          <w:rFonts w:ascii="Arial" w:cs="Arial" w:eastAsia="Arial" w:hAnsi="Arial"/>
          <w:rtl w:val="0"/>
        </w:rPr>
        <w:t xml:space="preserve">Em suma, este projeto de lei oferece ao Município uma ferramenta completa para fechar o ciclo da arborização: quem corta uma árvore em Niterói terá sua responsabilidade rastreável, monitorada e executada com técnicas que recuperam de fato o tecido urbano e o meio ambiente.</w:t>
      </w:r>
      <w:r w:rsidDel="00000000" w:rsidR="00000000" w:rsidRPr="00000000">
        <w:rPr>
          <w:rtl w:val="0"/>
        </w:rPr>
      </w:r>
    </w:p>
    <w:p w:rsidR="00000000" w:rsidDel="00000000" w:rsidP="00000000" w:rsidRDefault="00000000" w:rsidRPr="00000000" w14:paraId="00000034">
      <w:pPr>
        <w:spacing w:line="360" w:lineRule="auto"/>
        <w:ind w:firstLine="720"/>
        <w:jc w:val="both"/>
        <w:rPr>
          <w:rFonts w:ascii="Arial" w:cs="Arial" w:eastAsia="Arial" w:hAnsi="Arial"/>
          <w:b w:val="1"/>
          <w:bCs w:val="1"/>
        </w:rPr>
      </w:pPr>
      <w:r w:rsidDel="00000000" w:rsidR="00000000" w:rsidRPr="00000000">
        <w:rPr>
          <w:rtl w:val="0"/>
        </w:rPr>
      </w:r>
    </w:p>
    <w:sectPr>
      <w:headerReference r:id="rId6" w:type="default"/>
      <w:pgSz w:h="16837" w:w="11905" w:orient="portrait"/>
      <w:pgMar w:bottom="1417" w:top="1417" w:left="1701" w:right="113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
      <w:tblW w:w="9274.0" w:type="dxa"/>
      <w:jc w:val="left"/>
      <w:tblInd w:w="2.0" w:type="dxa"/>
      <w:tblLayout w:type="fixed"/>
      <w:tblLook w:val="0000"/>
    </w:tblPr>
    <w:tblGrid>
      <w:gridCol w:w="1739"/>
      <w:gridCol w:w="7535"/>
      <w:tblGridChange w:id="0">
        <w:tblGrid>
          <w:gridCol w:w="1739"/>
          <w:gridCol w:w="7535"/>
        </w:tblGrid>
      </w:tblGridChange>
    </w:tblGrid>
    <w:tr>
      <w:trPr>
        <w:cantSplit w:val="0"/>
        <w:trHeight w:val="1760" w:hRule="atLeast"/>
        <w:tblHeader w:val="0"/>
      </w:trPr>
      <w:tc>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ahoma" w:cs="Tahoma" w:eastAsia="Tahoma" w:hAnsi="Tahoma"/>
              <w:b w:val="0"/>
              <w:bCs w:val="0"/>
              <w:i w:val="0"/>
              <w:iCs w:val="0"/>
              <w:smallCaps w:val="0"/>
              <w:strike w:val="0"/>
              <w:color w:val="000000"/>
              <w:sz w:val="24"/>
              <w:szCs w:val="24"/>
              <w:u w:val="none"/>
              <w:shd w:fill="auto" w:val="clear"/>
              <w:vertAlign w:val="baseline"/>
            </w:rPr>
          </w:pPr>
          <w:bookmarkStart w:colFirst="0" w:colLast="0" w:name="_a0be9sk8dya" w:id="1"/>
          <w:bookmarkEnd w:id="1"/>
          <w:r w:rsidDel="00000000" w:rsidR="00000000" w:rsidRPr="00000000">
            <w:rPr>
              <w:rtl w:val="0"/>
            </w:rPr>
          </w:r>
        </w:p>
      </w:tc>
      <w:tc>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-387348</wp:posOffset>
                </wp:positionH>
                <wp:positionV relativeFrom="paragraph">
                  <wp:posOffset>9525</wp:posOffset>
                </wp:positionV>
                <wp:extent cx="828675" cy="101854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40"/>
                        </a:xfrm>
                        <a:prstGeom prst="rect"/>
                        <a:ln/>
                      </pic:spPr>
                    </pic:pic>
                  </a:graphicData>
                </a:graphic>
              </wp:anchor>
            </w:drawing>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75"/>
            </w:tabs>
            <w:spacing w:after="0" w:before="0" w:line="240" w:lineRule="auto"/>
            <w:ind w:left="0" w:right="0" w:firstLine="0"/>
            <w:jc w:val="center"/>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Câmara Municipal de Niterói</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Gabinete Vereador Professor Tulio</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Partido Socialismo e Liberdade (PSOL)</w:t>
          </w:r>
          <w:r w:rsidDel="00000000" w:rsidR="00000000" w:rsidRPr="00000000">
            <w:rPr>
              <w:rtl w:val="0"/>
            </w:rPr>
          </w:r>
        </w:p>
      </w:tc>
    </w:tr>
  </w:tbl>
  <w:p w:rsidR="00000000" w:rsidDel="00000000" w:rsidP="00000000" w:rsidRDefault="00000000" w:rsidRPr="00000000" w14:paraId="0000003B">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