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PROJETO DE LEI Nº        /202</w:t>
      </w:r>
      <w:r w:rsidDel="00000000" w:rsidR="00000000" w:rsidRPr="00000000">
        <w:rPr>
          <w:rFonts w:ascii="Arial" w:cs="Arial" w:eastAsia="Arial" w:hAnsi="Arial"/>
          <w:b w:val="1"/>
          <w:bCs w:val="1"/>
          <w:rtl w:val="0"/>
        </w:rPr>
        <w:t xml:space="preserve">6</w:t>
      </w:r>
      <w:r w:rsidDel="00000000" w:rsidR="00000000" w:rsidRPr="00000000">
        <w:rPr>
          <w:rtl w:val="0"/>
        </w:rPr>
      </w:r>
    </w:p>
    <w:p w:rsidR="00000000" w:rsidDel="00000000" w:rsidP="00000000" w:rsidRDefault="00000000" w:rsidRPr="00000000" w14:paraId="00000002">
      <w:pP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03">
      <w:pPr>
        <w:ind w:left="3969" w:firstLine="0"/>
        <w:jc w:val="both"/>
        <w:rPr/>
      </w:pPr>
      <w:r w:rsidDel="00000000" w:rsidR="00000000" w:rsidRPr="00000000">
        <w:rPr>
          <w:rtl w:val="0"/>
        </w:rPr>
      </w:r>
    </w:p>
    <w:p w:rsidR="00000000" w:rsidDel="00000000" w:rsidP="00000000" w:rsidRDefault="00000000" w:rsidRPr="00000000" w14:paraId="00000004">
      <w:pPr>
        <w:ind w:left="3600" w:firstLine="0"/>
        <w:jc w:val="both"/>
        <w:rPr>
          <w:rFonts w:ascii="Arial" w:cs="Arial" w:eastAsia="Arial" w:hAnsi="Arial"/>
          <w:b w:val="1"/>
          <w:bCs w:val="1"/>
        </w:rPr>
      </w:pPr>
      <w:bookmarkStart w:colFirst="0" w:colLast="0" w:name="_heading=h.kaklnm6cwsmi" w:id="0"/>
      <w:bookmarkEnd w:id="0"/>
      <w:r w:rsidDel="00000000" w:rsidR="00000000" w:rsidRPr="00000000">
        <w:rPr>
          <w:rFonts w:ascii="Arial" w:cs="Arial" w:eastAsia="Arial" w:hAnsi="Arial"/>
          <w:b w:val="1"/>
          <w:bCs w:val="1"/>
          <w:rtl w:val="0"/>
        </w:rPr>
        <w:t xml:space="preserve">Institui diretrizes para a Política Municipal de Prevenção e Combate à Intimidação Sistemática (Bullying) e ao Cyberbullying nas instituições de ensino no Município de Niterói, e dá outras providências. </w:t>
      </w:r>
    </w:p>
    <w:p w:rsidR="00000000" w:rsidDel="00000000" w:rsidP="00000000" w:rsidRDefault="00000000" w:rsidRPr="00000000" w14:paraId="00000005">
      <w:pPr>
        <w:ind w:left="360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6">
      <w:pPr>
        <w:jc w:val="both"/>
        <w:rPr>
          <w:rFonts w:ascii="Arial" w:cs="Arial" w:eastAsia="Arial" w:hAnsi="Arial"/>
        </w:rPr>
      </w:pPr>
      <w:r w:rsidDel="00000000" w:rsidR="00000000" w:rsidRPr="00000000">
        <w:rPr>
          <w:rtl w:val="0"/>
        </w:rPr>
      </w:r>
    </w:p>
    <w:p w:rsidR="00000000" w:rsidDel="00000000" w:rsidP="00000000" w:rsidRDefault="00000000" w:rsidRPr="00000000" w14:paraId="00000007">
      <w:pPr>
        <w:jc w:val="both"/>
        <w:rPr>
          <w:rFonts w:ascii="Arial" w:cs="Arial" w:eastAsia="Arial" w:hAnsi="Arial"/>
        </w:rPr>
      </w:pPr>
      <w:r w:rsidDel="00000000" w:rsidR="00000000" w:rsidRPr="00000000">
        <w:rPr>
          <w:rFonts w:ascii="Arial" w:cs="Arial" w:eastAsia="Arial" w:hAnsi="Arial"/>
          <w:b w:val="1"/>
          <w:bCs w:val="1"/>
          <w:rtl w:val="0"/>
        </w:rPr>
        <w:t xml:space="preserve">Art. 1º</w:t>
      </w:r>
      <w:r w:rsidDel="00000000" w:rsidR="00000000" w:rsidRPr="00000000">
        <w:rPr>
          <w:rFonts w:ascii="Arial" w:cs="Arial" w:eastAsia="Arial" w:hAnsi="Arial"/>
          <w:rtl w:val="0"/>
        </w:rPr>
        <w:t xml:space="preserve"> Ficam instituídas as diretrizes para a Política Municipal de Prevenção e Combate à Intimidação Sistemática (</w:t>
      </w:r>
      <w:r w:rsidDel="00000000" w:rsidR="00000000" w:rsidRPr="00000000">
        <w:rPr>
          <w:rFonts w:ascii="Arial" w:cs="Arial" w:eastAsia="Arial" w:hAnsi="Arial"/>
          <w:i w:val="1"/>
          <w:iCs w:val="1"/>
          <w:rtl w:val="0"/>
        </w:rPr>
        <w:t xml:space="preserve">Bullying</w:t>
      </w:r>
      <w:r w:rsidDel="00000000" w:rsidR="00000000" w:rsidRPr="00000000">
        <w:rPr>
          <w:rFonts w:ascii="Arial" w:cs="Arial" w:eastAsia="Arial" w:hAnsi="Arial"/>
          <w:rtl w:val="0"/>
        </w:rPr>
        <w:t xml:space="preserve">) e ao </w:t>
      </w:r>
      <w:r w:rsidDel="00000000" w:rsidR="00000000" w:rsidRPr="00000000">
        <w:rPr>
          <w:rFonts w:ascii="Arial" w:cs="Arial" w:eastAsia="Arial" w:hAnsi="Arial"/>
          <w:i w:val="1"/>
          <w:iCs w:val="1"/>
          <w:rtl w:val="0"/>
        </w:rPr>
        <w:t xml:space="preserve">Cyberbullying</w:t>
      </w:r>
      <w:r w:rsidDel="00000000" w:rsidR="00000000" w:rsidRPr="00000000">
        <w:rPr>
          <w:rFonts w:ascii="Arial" w:cs="Arial" w:eastAsia="Arial" w:hAnsi="Arial"/>
          <w:rtl w:val="0"/>
        </w:rPr>
        <w:t xml:space="preserve">, com o objetivo de promover a cultura de paz e a segurança no ambiente escolar das instituições de ensino situadas no Município de Niterói, adotando-se prioritariamente a abordagem restaurativa na resolução de conflitos. </w:t>
      </w:r>
    </w:p>
    <w:p w:rsidR="00000000" w:rsidDel="00000000" w:rsidP="00000000" w:rsidRDefault="00000000" w:rsidRPr="00000000" w14:paraId="00000008">
      <w:pPr>
        <w:jc w:val="both"/>
        <w:rPr>
          <w:rFonts w:ascii="Arial" w:cs="Arial" w:eastAsia="Arial" w:hAnsi="Arial"/>
        </w:rPr>
      </w:pPr>
      <w:r w:rsidDel="00000000" w:rsidR="00000000" w:rsidRPr="00000000">
        <w:rPr>
          <w:rtl w:val="0"/>
        </w:rPr>
      </w:r>
    </w:p>
    <w:p w:rsidR="00000000" w:rsidDel="00000000" w:rsidP="00000000" w:rsidRDefault="00000000" w:rsidRPr="00000000" w14:paraId="00000009">
      <w:pPr>
        <w:jc w:val="both"/>
        <w:rPr>
          <w:rFonts w:ascii="Arial" w:cs="Arial" w:eastAsia="Arial" w:hAnsi="Arial"/>
        </w:rPr>
      </w:pPr>
      <w:r w:rsidDel="00000000" w:rsidR="00000000" w:rsidRPr="00000000">
        <w:rPr>
          <w:rFonts w:ascii="Arial" w:cs="Arial" w:eastAsia="Arial" w:hAnsi="Arial"/>
          <w:b w:val="1"/>
          <w:bCs w:val="1"/>
          <w:rtl w:val="0"/>
        </w:rPr>
        <w:t xml:space="preserve">Art. 2º</w:t>
      </w:r>
      <w:r w:rsidDel="00000000" w:rsidR="00000000" w:rsidRPr="00000000">
        <w:rPr>
          <w:rFonts w:ascii="Arial" w:cs="Arial" w:eastAsia="Arial" w:hAnsi="Arial"/>
          <w:rtl w:val="0"/>
        </w:rPr>
        <w:t xml:space="preserve"> Para os fins desta Lei, considera-se intimidação sistemática (</w:t>
      </w:r>
      <w:r w:rsidDel="00000000" w:rsidR="00000000" w:rsidRPr="00000000">
        <w:rPr>
          <w:rFonts w:ascii="Arial" w:cs="Arial" w:eastAsia="Arial" w:hAnsi="Arial"/>
          <w:i w:val="1"/>
          <w:iCs w:val="1"/>
          <w:rtl w:val="0"/>
        </w:rPr>
        <w:t xml:space="preserve">bullying</w:t>
      </w:r>
      <w:r w:rsidDel="00000000" w:rsidR="00000000" w:rsidRPr="00000000">
        <w:rPr>
          <w:rFonts w:ascii="Arial" w:cs="Arial" w:eastAsia="Arial" w:hAnsi="Arial"/>
          <w:rtl w:val="0"/>
        </w:rPr>
        <w:t xml:space="preserve">) e </w:t>
      </w:r>
      <w:r w:rsidDel="00000000" w:rsidR="00000000" w:rsidRPr="00000000">
        <w:rPr>
          <w:rFonts w:ascii="Arial" w:cs="Arial" w:eastAsia="Arial" w:hAnsi="Arial"/>
          <w:i w:val="1"/>
          <w:iCs w:val="1"/>
          <w:rtl w:val="0"/>
        </w:rPr>
        <w:t xml:space="preserve">cyberbullying</w:t>
      </w:r>
      <w:r w:rsidDel="00000000" w:rsidR="00000000" w:rsidRPr="00000000">
        <w:rPr>
          <w:rFonts w:ascii="Arial" w:cs="Arial" w:eastAsia="Arial" w:hAnsi="Arial"/>
          <w:rtl w:val="0"/>
        </w:rPr>
        <w:t xml:space="preserve"> as condutas definidas e tipificadas na Lei Federal nº 13.185, de 6 de novembro de 2015, e na Lei Federal nº 14.811, de 12 de janeiro de 2024. </w:t>
      </w:r>
    </w:p>
    <w:p w:rsidR="00000000" w:rsidDel="00000000" w:rsidP="00000000" w:rsidRDefault="00000000" w:rsidRPr="00000000" w14:paraId="0000000A">
      <w:pPr>
        <w:jc w:val="both"/>
        <w:rPr>
          <w:rFonts w:ascii="Arial" w:cs="Arial" w:eastAsia="Arial" w:hAnsi="Arial"/>
        </w:rPr>
      </w:pPr>
      <w:r w:rsidDel="00000000" w:rsidR="00000000" w:rsidRPr="00000000">
        <w:rPr>
          <w:rtl w:val="0"/>
        </w:rPr>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b w:val="1"/>
          <w:bCs w:val="1"/>
          <w:rtl w:val="0"/>
        </w:rPr>
        <w:t xml:space="preserve">Art. 3º</w:t>
      </w:r>
      <w:r w:rsidDel="00000000" w:rsidR="00000000" w:rsidRPr="00000000">
        <w:rPr>
          <w:rFonts w:ascii="Arial" w:cs="Arial" w:eastAsia="Arial" w:hAnsi="Arial"/>
          <w:rtl w:val="0"/>
        </w:rPr>
        <w:t xml:space="preserve"> São objetivos das diretrizes de que trata esta Lei: </w:t>
      </w:r>
    </w:p>
    <w:p w:rsidR="00000000" w:rsidDel="00000000" w:rsidP="00000000" w:rsidRDefault="00000000" w:rsidRPr="00000000" w14:paraId="0000000C">
      <w:pPr>
        <w:jc w:val="both"/>
        <w:rPr>
          <w:rFonts w:ascii="Arial" w:cs="Arial" w:eastAsia="Arial" w:hAnsi="Arial"/>
        </w:rPr>
      </w:pPr>
      <w:r w:rsidDel="00000000" w:rsidR="00000000" w:rsidRPr="00000000">
        <w:rPr>
          <w:rtl w:val="0"/>
        </w:rPr>
      </w:r>
    </w:p>
    <w:p w:rsidR="00000000" w:rsidDel="00000000" w:rsidP="00000000" w:rsidRDefault="00000000" w:rsidRPr="00000000" w14:paraId="0000000D">
      <w:pPr>
        <w:jc w:val="both"/>
        <w:rPr>
          <w:rFonts w:ascii="Arial" w:cs="Arial" w:eastAsia="Arial" w:hAnsi="Arial"/>
        </w:rPr>
      </w:pPr>
      <w:r w:rsidDel="00000000" w:rsidR="00000000" w:rsidRPr="00000000">
        <w:rPr>
          <w:rFonts w:ascii="Arial" w:cs="Arial" w:eastAsia="Arial" w:hAnsi="Arial"/>
          <w:b w:val="1"/>
          <w:bCs w:val="1"/>
          <w:rtl w:val="0"/>
        </w:rPr>
        <w:t xml:space="preserve">I - </w:t>
      </w:r>
      <w:r w:rsidDel="00000000" w:rsidR="00000000" w:rsidRPr="00000000">
        <w:rPr>
          <w:rFonts w:ascii="Arial" w:cs="Arial" w:eastAsia="Arial" w:hAnsi="Arial"/>
          <w:rtl w:val="0"/>
        </w:rPr>
        <w:t xml:space="preserve">prevenir e combater a prática de intimidação sistemática nas instituições de ensino no âmbito do Município de Niterói; </w:t>
      </w:r>
    </w:p>
    <w:p w:rsidR="00000000" w:rsidDel="00000000" w:rsidP="00000000" w:rsidRDefault="00000000" w:rsidRPr="00000000" w14:paraId="0000000E">
      <w:pPr>
        <w:jc w:val="both"/>
        <w:rPr>
          <w:rFonts w:ascii="Arial" w:cs="Arial" w:eastAsia="Arial" w:hAnsi="Arial"/>
        </w:rPr>
      </w:pPr>
      <w:r w:rsidDel="00000000" w:rsidR="00000000" w:rsidRPr="00000000">
        <w:rPr>
          <w:rtl w:val="0"/>
        </w:rPr>
      </w:r>
    </w:p>
    <w:p w:rsidR="00000000" w:rsidDel="00000000" w:rsidP="00000000" w:rsidRDefault="00000000" w:rsidRPr="00000000" w14:paraId="0000000F">
      <w:pPr>
        <w:jc w:val="both"/>
        <w:rPr>
          <w:rFonts w:ascii="Arial" w:cs="Arial" w:eastAsia="Arial" w:hAnsi="Arial"/>
        </w:rPr>
      </w:pPr>
      <w:r w:rsidDel="00000000" w:rsidR="00000000" w:rsidRPr="00000000">
        <w:rPr>
          <w:rFonts w:ascii="Arial" w:cs="Arial" w:eastAsia="Arial" w:hAnsi="Arial"/>
          <w:b w:val="1"/>
          <w:bCs w:val="1"/>
          <w:rtl w:val="0"/>
        </w:rPr>
        <w:t xml:space="preserve">II -</w:t>
      </w:r>
      <w:r w:rsidDel="00000000" w:rsidR="00000000" w:rsidRPr="00000000">
        <w:rPr>
          <w:rFonts w:ascii="Arial" w:cs="Arial" w:eastAsia="Arial" w:hAnsi="Arial"/>
          <w:rtl w:val="0"/>
        </w:rPr>
        <w:t xml:space="preserve"> estimular a formação continuada e o acesso a materiais informativos para docentes, equipes pedagógicas e demais profissionais da educação, visando à identificação e prevenção do problema; </w:t>
      </w:r>
    </w:p>
    <w:p w:rsidR="00000000" w:rsidDel="00000000" w:rsidP="00000000" w:rsidRDefault="00000000" w:rsidRPr="00000000" w14:paraId="00000010">
      <w:pPr>
        <w:jc w:val="both"/>
        <w:rPr>
          <w:rFonts w:ascii="Arial" w:cs="Arial" w:eastAsia="Arial" w:hAnsi="Arial"/>
        </w:rPr>
      </w:pPr>
      <w:r w:rsidDel="00000000" w:rsidR="00000000" w:rsidRPr="00000000">
        <w:rPr>
          <w:rtl w:val="0"/>
        </w:rPr>
      </w:r>
    </w:p>
    <w:p w:rsidR="00000000" w:rsidDel="00000000" w:rsidP="00000000" w:rsidRDefault="00000000" w:rsidRPr="00000000" w14:paraId="00000011">
      <w:pPr>
        <w:jc w:val="both"/>
        <w:rPr>
          <w:rFonts w:ascii="Arial" w:cs="Arial" w:eastAsia="Arial" w:hAnsi="Arial"/>
        </w:rPr>
      </w:pPr>
      <w:r w:rsidDel="00000000" w:rsidR="00000000" w:rsidRPr="00000000">
        <w:rPr>
          <w:rFonts w:ascii="Arial" w:cs="Arial" w:eastAsia="Arial" w:hAnsi="Arial"/>
          <w:b w:val="1"/>
          <w:bCs w:val="1"/>
          <w:rtl w:val="0"/>
        </w:rPr>
        <w:t xml:space="preserve">III -</w:t>
      </w:r>
      <w:r w:rsidDel="00000000" w:rsidR="00000000" w:rsidRPr="00000000">
        <w:rPr>
          <w:rFonts w:ascii="Arial" w:cs="Arial" w:eastAsia="Arial" w:hAnsi="Arial"/>
          <w:rtl w:val="0"/>
        </w:rPr>
        <w:t xml:space="preserve"> fomentar a orientação a pais, familiares e responsáveis sobre a identificação e o enfrentamento dessas violências; </w:t>
      </w:r>
    </w:p>
    <w:p w:rsidR="00000000" w:rsidDel="00000000" w:rsidP="00000000" w:rsidRDefault="00000000" w:rsidRPr="00000000" w14:paraId="00000012">
      <w:pPr>
        <w:jc w:val="both"/>
        <w:rPr>
          <w:rFonts w:ascii="Arial" w:cs="Arial" w:eastAsia="Arial" w:hAnsi="Arial"/>
        </w:rPr>
      </w:pPr>
      <w:r w:rsidDel="00000000" w:rsidR="00000000" w:rsidRPr="00000000">
        <w:rPr>
          <w:rtl w:val="0"/>
        </w:rPr>
      </w:r>
    </w:p>
    <w:p w:rsidR="00000000" w:rsidDel="00000000" w:rsidP="00000000" w:rsidRDefault="00000000" w:rsidRPr="00000000" w14:paraId="00000013">
      <w:pPr>
        <w:jc w:val="both"/>
        <w:rPr>
          <w:rFonts w:ascii="Arial" w:cs="Arial" w:eastAsia="Arial" w:hAnsi="Arial"/>
        </w:rPr>
      </w:pPr>
      <w:r w:rsidDel="00000000" w:rsidR="00000000" w:rsidRPr="00000000">
        <w:rPr>
          <w:rFonts w:ascii="Arial" w:cs="Arial" w:eastAsia="Arial" w:hAnsi="Arial"/>
          <w:b w:val="1"/>
          <w:bCs w:val="1"/>
          <w:rtl w:val="0"/>
        </w:rPr>
        <w:t xml:space="preserve">IV - </w:t>
      </w:r>
      <w:r w:rsidDel="00000000" w:rsidR="00000000" w:rsidRPr="00000000">
        <w:rPr>
          <w:rFonts w:ascii="Arial" w:cs="Arial" w:eastAsia="Arial" w:hAnsi="Arial"/>
          <w:rtl w:val="0"/>
        </w:rPr>
        <w:t xml:space="preserve">incentivar a articulação intersetorial da rede de proteção social e de direitos já existente no município, visando ao acolhimento e suporte às vítimas e aos agressores; </w:t>
      </w:r>
    </w:p>
    <w:p w:rsidR="00000000" w:rsidDel="00000000" w:rsidP="00000000" w:rsidRDefault="00000000" w:rsidRPr="00000000" w14:paraId="00000014">
      <w:pPr>
        <w:jc w:val="both"/>
        <w:rPr>
          <w:rFonts w:ascii="Arial" w:cs="Arial" w:eastAsia="Arial" w:hAnsi="Arial"/>
        </w:rPr>
      </w:pPr>
      <w:r w:rsidDel="00000000" w:rsidR="00000000" w:rsidRPr="00000000">
        <w:rPr>
          <w:rtl w:val="0"/>
        </w:rPr>
      </w:r>
    </w:p>
    <w:p w:rsidR="00000000" w:rsidDel="00000000" w:rsidP="00000000" w:rsidRDefault="00000000" w:rsidRPr="00000000" w14:paraId="00000015">
      <w:pPr>
        <w:jc w:val="both"/>
        <w:rPr>
          <w:rFonts w:ascii="Arial" w:cs="Arial" w:eastAsia="Arial" w:hAnsi="Arial"/>
        </w:rPr>
      </w:pPr>
      <w:r w:rsidDel="00000000" w:rsidR="00000000" w:rsidRPr="00000000">
        <w:rPr>
          <w:rFonts w:ascii="Arial" w:cs="Arial" w:eastAsia="Arial" w:hAnsi="Arial"/>
          <w:b w:val="1"/>
          <w:bCs w:val="1"/>
          <w:rtl w:val="0"/>
        </w:rPr>
        <w:t xml:space="preserve">V - </w:t>
      </w:r>
      <w:r w:rsidDel="00000000" w:rsidR="00000000" w:rsidRPr="00000000">
        <w:rPr>
          <w:rFonts w:ascii="Arial" w:cs="Arial" w:eastAsia="Arial" w:hAnsi="Arial"/>
          <w:rtl w:val="0"/>
        </w:rPr>
        <w:t xml:space="preserve">promover a cultura de paz, a empatia e o respeito mútuo no ambiente escolar. </w:t>
      </w:r>
    </w:p>
    <w:p w:rsidR="00000000" w:rsidDel="00000000" w:rsidP="00000000" w:rsidRDefault="00000000" w:rsidRPr="00000000" w14:paraId="00000016">
      <w:pPr>
        <w:jc w:val="both"/>
        <w:rPr>
          <w:rFonts w:ascii="Arial" w:cs="Arial" w:eastAsia="Arial" w:hAnsi="Arial"/>
        </w:rPr>
      </w:pPr>
      <w:r w:rsidDel="00000000" w:rsidR="00000000" w:rsidRPr="00000000">
        <w:rPr>
          <w:rtl w:val="0"/>
        </w:rPr>
      </w:r>
    </w:p>
    <w:p w:rsidR="00000000" w:rsidDel="00000000" w:rsidP="00000000" w:rsidRDefault="00000000" w:rsidRPr="00000000" w14:paraId="00000017">
      <w:pPr>
        <w:jc w:val="both"/>
        <w:rPr>
          <w:rFonts w:ascii="Arial" w:cs="Arial" w:eastAsia="Arial" w:hAnsi="Arial"/>
        </w:rPr>
      </w:pPr>
      <w:r w:rsidDel="00000000" w:rsidR="00000000" w:rsidRPr="00000000">
        <w:rPr>
          <w:rFonts w:ascii="Arial" w:cs="Arial" w:eastAsia="Arial" w:hAnsi="Arial"/>
          <w:b w:val="1"/>
          <w:bCs w:val="1"/>
          <w:rtl w:val="0"/>
        </w:rPr>
        <w:t xml:space="preserve">VI - </w:t>
      </w:r>
      <w:r w:rsidDel="00000000" w:rsidR="00000000" w:rsidRPr="00000000">
        <w:rPr>
          <w:rFonts w:ascii="Arial" w:cs="Arial" w:eastAsia="Arial" w:hAnsi="Arial"/>
          <w:rtl w:val="0"/>
        </w:rPr>
        <w:t xml:space="preserve">consolidar a Justiça Restaurativa e a mediação escolar como diretrizes metodológicas oficiais no manejo de conflitos e atos de intimidação sistemática. </w:t>
      </w:r>
    </w:p>
    <w:p w:rsidR="00000000" w:rsidDel="00000000" w:rsidP="00000000" w:rsidRDefault="00000000" w:rsidRPr="00000000" w14:paraId="00000018">
      <w:pPr>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Art. 4º</w:t>
      </w:r>
      <w:r w:rsidDel="00000000" w:rsidR="00000000" w:rsidRPr="00000000">
        <w:rPr>
          <w:rFonts w:ascii="Arial" w:cs="Arial" w:eastAsia="Arial" w:hAnsi="Arial"/>
          <w:rtl w:val="0"/>
        </w:rPr>
        <w:t xml:space="preserve"> Os estabelecimentos de ensino em funcionamento no Município deverão realizar ações contínuas de conscientização, prevenção e diagnóstico da intimidação sistemática e do </w:t>
      </w:r>
      <w:r w:rsidDel="00000000" w:rsidR="00000000" w:rsidRPr="00000000">
        <w:rPr>
          <w:rFonts w:ascii="Arial" w:cs="Arial" w:eastAsia="Arial" w:hAnsi="Arial"/>
          <w:i w:val="1"/>
          <w:iCs w:val="1"/>
          <w:rtl w:val="0"/>
        </w:rPr>
        <w:t xml:space="preserve">cyberbullying</w:t>
      </w:r>
      <w:r w:rsidDel="00000000" w:rsidR="00000000" w:rsidRPr="00000000">
        <w:rPr>
          <w:rFonts w:ascii="Arial" w:cs="Arial" w:eastAsia="Arial" w:hAnsi="Arial"/>
          <w:rtl w:val="0"/>
        </w:rPr>
        <w:t xml:space="preserve">, pautadas nos princípios e métodos da Justiça Restaurativa.</w:t>
      </w:r>
    </w:p>
    <w:p w:rsidR="00000000" w:rsidDel="00000000" w:rsidP="00000000" w:rsidRDefault="00000000" w:rsidRPr="00000000" w14:paraId="0000001A">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 1º </w:t>
      </w:r>
      <w:r w:rsidDel="00000000" w:rsidR="00000000" w:rsidRPr="00000000">
        <w:rPr>
          <w:rFonts w:ascii="Arial" w:cs="Arial" w:eastAsia="Arial" w:hAnsi="Arial"/>
          <w:rtl w:val="0"/>
        </w:rPr>
        <w:t xml:space="preserve">As ações de que trata o </w:t>
      </w:r>
      <w:r w:rsidDel="00000000" w:rsidR="00000000" w:rsidRPr="00000000">
        <w:rPr>
          <w:rFonts w:ascii="Arial" w:cs="Arial" w:eastAsia="Arial" w:hAnsi="Arial"/>
          <w:i w:val="1"/>
          <w:iCs w:val="1"/>
          <w:rtl w:val="0"/>
        </w:rPr>
        <w:t xml:space="preserve">caput </w:t>
      </w:r>
      <w:r w:rsidDel="00000000" w:rsidR="00000000" w:rsidRPr="00000000">
        <w:rPr>
          <w:rFonts w:ascii="Arial" w:cs="Arial" w:eastAsia="Arial" w:hAnsi="Arial"/>
          <w:rtl w:val="0"/>
        </w:rPr>
        <w:t xml:space="preserve">deste artigo incluirão, obrigatoriamente, a orientação e a formação dos corpos docente e pedagógico para a identificação precoce dos casos e a aplicação de práticas restaurativas.</w:t>
      </w:r>
    </w:p>
    <w:p w:rsidR="00000000" w:rsidDel="00000000" w:rsidP="00000000" w:rsidRDefault="00000000" w:rsidRPr="00000000" w14:paraId="0000001B">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 2º </w:t>
      </w:r>
      <w:r w:rsidDel="00000000" w:rsidR="00000000" w:rsidRPr="00000000">
        <w:rPr>
          <w:rFonts w:ascii="Arial" w:cs="Arial" w:eastAsia="Arial" w:hAnsi="Arial"/>
          <w:rtl w:val="0"/>
        </w:rPr>
        <w:t xml:space="preserve">Atenção especial deverá ser direcionada à prevenção do </w:t>
      </w:r>
      <w:r w:rsidDel="00000000" w:rsidR="00000000" w:rsidRPr="00000000">
        <w:rPr>
          <w:rFonts w:ascii="Arial" w:cs="Arial" w:eastAsia="Arial" w:hAnsi="Arial"/>
          <w:i w:val="1"/>
          <w:iCs w:val="1"/>
          <w:rtl w:val="0"/>
        </w:rPr>
        <w:t xml:space="preserve">bullying</w:t>
      </w:r>
      <w:r w:rsidDel="00000000" w:rsidR="00000000" w:rsidRPr="00000000">
        <w:rPr>
          <w:rFonts w:ascii="Arial" w:cs="Arial" w:eastAsia="Arial" w:hAnsi="Arial"/>
          <w:rtl w:val="0"/>
        </w:rPr>
        <w:t xml:space="preserve"> contra alunos com deficiência, transtornos globais do desenvolvimento e altas habilidades/superdotação, assegurando que o ambiente escolar seja integralmente inclusivo e seguro.</w:t>
      </w:r>
    </w:p>
    <w:p w:rsidR="00000000" w:rsidDel="00000000" w:rsidP="00000000" w:rsidRDefault="00000000" w:rsidRPr="00000000" w14:paraId="0000001C">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Art. 5º</w:t>
      </w:r>
      <w:r w:rsidDel="00000000" w:rsidR="00000000" w:rsidRPr="00000000">
        <w:rPr>
          <w:rFonts w:ascii="Arial" w:cs="Arial" w:eastAsia="Arial" w:hAnsi="Arial"/>
          <w:rtl w:val="0"/>
        </w:rPr>
        <w:t xml:space="preserve"> As instituições de ensino do Município priorizarão o uso de práticas restaurativas e de mediação escolar como instrumentos de resolução pacífica de conflitos e de superação da intimidação sistemática.</w:t>
      </w:r>
    </w:p>
    <w:p w:rsidR="00000000" w:rsidDel="00000000" w:rsidP="00000000" w:rsidRDefault="00000000" w:rsidRPr="00000000" w14:paraId="0000001D">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Parágrafo único.</w:t>
      </w:r>
      <w:r w:rsidDel="00000000" w:rsidR="00000000" w:rsidRPr="00000000">
        <w:rPr>
          <w:rFonts w:ascii="Arial" w:cs="Arial" w:eastAsia="Arial" w:hAnsi="Arial"/>
          <w:rtl w:val="0"/>
        </w:rPr>
        <w:t xml:space="preserve"> Para os fins desta Lei, consideram-se práticas restaurativas os métodos que visem à conscientização sobre o impacto das ações, ao acolhimento das vítimas, à responsabilização ativa dos agressores e à restauração das relações interpessoais no ambiente escolar.</w:t>
      </w:r>
      <w:r w:rsidDel="00000000" w:rsidR="00000000" w:rsidRPr="00000000">
        <w:rPr>
          <w:rtl w:val="0"/>
        </w:rPr>
      </w:r>
    </w:p>
    <w:p w:rsidR="00000000" w:rsidDel="00000000" w:rsidP="00000000" w:rsidRDefault="00000000" w:rsidRPr="00000000" w14:paraId="0000001E">
      <w:pPr>
        <w:jc w:val="both"/>
        <w:rPr>
          <w:rFonts w:ascii="Arial" w:cs="Arial" w:eastAsia="Arial" w:hAnsi="Arial"/>
        </w:rPr>
      </w:pPr>
      <w:r w:rsidDel="00000000" w:rsidR="00000000" w:rsidRPr="00000000">
        <w:rPr>
          <w:rFonts w:ascii="Arial" w:cs="Arial" w:eastAsia="Arial" w:hAnsi="Arial"/>
          <w:b w:val="1"/>
          <w:bCs w:val="1"/>
          <w:rtl w:val="0"/>
        </w:rPr>
        <w:t xml:space="preserve">Art. 6º</w:t>
      </w:r>
      <w:r w:rsidDel="00000000" w:rsidR="00000000" w:rsidRPr="00000000">
        <w:rPr>
          <w:rFonts w:ascii="Arial" w:cs="Arial" w:eastAsia="Arial" w:hAnsi="Arial"/>
          <w:rtl w:val="0"/>
        </w:rPr>
        <w:t xml:space="preserve"> As instituições de ensino zelarão pela transparência e responsabilidade no trato dos casos de </w:t>
      </w:r>
      <w:r w:rsidDel="00000000" w:rsidR="00000000" w:rsidRPr="00000000">
        <w:rPr>
          <w:rFonts w:ascii="Arial" w:cs="Arial" w:eastAsia="Arial" w:hAnsi="Arial"/>
          <w:i w:val="1"/>
          <w:iCs w:val="1"/>
          <w:rtl w:val="0"/>
        </w:rPr>
        <w:t xml:space="preserve">bullying</w:t>
      </w:r>
      <w:r w:rsidDel="00000000" w:rsidR="00000000" w:rsidRPr="00000000">
        <w:rPr>
          <w:rFonts w:ascii="Arial" w:cs="Arial" w:eastAsia="Arial" w:hAnsi="Arial"/>
          <w:rtl w:val="0"/>
        </w:rPr>
        <w:t xml:space="preserve"> e </w:t>
      </w:r>
      <w:r w:rsidDel="00000000" w:rsidR="00000000" w:rsidRPr="00000000">
        <w:rPr>
          <w:rFonts w:ascii="Arial" w:cs="Arial" w:eastAsia="Arial" w:hAnsi="Arial"/>
          <w:i w:val="1"/>
          <w:iCs w:val="1"/>
          <w:rtl w:val="0"/>
        </w:rPr>
        <w:t xml:space="preserve">cyberbullying</w:t>
      </w:r>
      <w:r w:rsidDel="00000000" w:rsidR="00000000" w:rsidRPr="00000000">
        <w:rPr>
          <w:rFonts w:ascii="Arial" w:cs="Arial" w:eastAsia="Arial" w:hAnsi="Arial"/>
          <w:rtl w:val="0"/>
        </w:rPr>
        <w:t xml:space="preserve"> de que venham a tomar conhecimento, priorizando a comunicação aos pais ou responsáveis e, quando cabível, o acionamento do Conselho Tutelar e demais órgãos de proteção. </w:t>
      </w:r>
    </w:p>
    <w:p w:rsidR="00000000" w:rsidDel="00000000" w:rsidP="00000000" w:rsidRDefault="00000000" w:rsidRPr="00000000" w14:paraId="0000001F">
      <w:pPr>
        <w:jc w:val="both"/>
        <w:rPr>
          <w:rFonts w:ascii="Arial" w:cs="Arial" w:eastAsia="Arial" w:hAnsi="Arial"/>
        </w:rPr>
      </w:pPr>
      <w:r w:rsidDel="00000000" w:rsidR="00000000" w:rsidRPr="00000000">
        <w:rPr>
          <w:rtl w:val="0"/>
        </w:rPr>
      </w:r>
    </w:p>
    <w:p w:rsidR="00000000" w:rsidDel="00000000" w:rsidP="00000000" w:rsidRDefault="00000000" w:rsidRPr="00000000" w14:paraId="00000020">
      <w:pPr>
        <w:jc w:val="both"/>
        <w:rPr>
          <w:rFonts w:ascii="Arial" w:cs="Arial" w:eastAsia="Arial" w:hAnsi="Arial"/>
        </w:rPr>
      </w:pPr>
      <w:r w:rsidDel="00000000" w:rsidR="00000000" w:rsidRPr="00000000">
        <w:rPr>
          <w:rFonts w:ascii="Arial" w:cs="Arial" w:eastAsia="Arial" w:hAnsi="Arial"/>
          <w:b w:val="1"/>
          <w:bCs w:val="1"/>
          <w:rtl w:val="0"/>
        </w:rPr>
        <w:t xml:space="preserve">Art. 7º</w:t>
      </w:r>
      <w:r w:rsidDel="00000000" w:rsidR="00000000" w:rsidRPr="00000000">
        <w:rPr>
          <w:rFonts w:ascii="Arial" w:cs="Arial" w:eastAsia="Arial" w:hAnsi="Arial"/>
          <w:rtl w:val="0"/>
        </w:rPr>
        <w:t xml:space="preserve"> Fica estabelecida a obrigatoriedade de fixação de cartazes informativos nas dependências dos estabelecimentos de educação básica, públicos e privados, em funcionamento no Município, em locais de grande circulação e fácil visibilidade. </w:t>
      </w:r>
    </w:p>
    <w:p w:rsidR="00000000" w:rsidDel="00000000" w:rsidP="00000000" w:rsidRDefault="00000000" w:rsidRPr="00000000" w14:paraId="00000021">
      <w:pPr>
        <w:jc w:val="both"/>
        <w:rPr>
          <w:rFonts w:ascii="Arial" w:cs="Arial" w:eastAsia="Arial" w:hAnsi="Arial"/>
        </w:rPr>
      </w:pPr>
      <w:r w:rsidDel="00000000" w:rsidR="00000000" w:rsidRPr="00000000">
        <w:rPr>
          <w:rtl w:val="0"/>
        </w:rPr>
      </w:r>
    </w:p>
    <w:p w:rsidR="00000000" w:rsidDel="00000000" w:rsidP="00000000" w:rsidRDefault="00000000" w:rsidRPr="00000000" w14:paraId="00000022">
      <w:pPr>
        <w:jc w:val="both"/>
        <w:rPr>
          <w:rFonts w:ascii="Arial" w:cs="Arial" w:eastAsia="Arial" w:hAnsi="Arial"/>
        </w:rPr>
      </w:pPr>
      <w:r w:rsidDel="00000000" w:rsidR="00000000" w:rsidRPr="00000000">
        <w:rPr>
          <w:rFonts w:ascii="Arial" w:cs="Arial" w:eastAsia="Arial" w:hAnsi="Arial"/>
          <w:b w:val="1"/>
          <w:bCs w:val="1"/>
          <w:rtl w:val="0"/>
        </w:rPr>
        <w:t xml:space="preserve">§ 1º</w:t>
      </w:r>
      <w:r w:rsidDel="00000000" w:rsidR="00000000" w:rsidRPr="00000000">
        <w:rPr>
          <w:rFonts w:ascii="Arial" w:cs="Arial" w:eastAsia="Arial" w:hAnsi="Arial"/>
          <w:rtl w:val="0"/>
        </w:rPr>
        <w:t xml:space="preserve"> Os cartazes de que trata o </w:t>
      </w:r>
      <w:r w:rsidDel="00000000" w:rsidR="00000000" w:rsidRPr="00000000">
        <w:rPr>
          <w:rFonts w:ascii="Arial" w:cs="Arial" w:eastAsia="Arial" w:hAnsi="Arial"/>
          <w:i w:val="1"/>
          <w:iCs w:val="1"/>
          <w:rtl w:val="0"/>
        </w:rPr>
        <w:t xml:space="preserve">caput</w:t>
      </w:r>
      <w:r w:rsidDel="00000000" w:rsidR="00000000" w:rsidRPr="00000000">
        <w:rPr>
          <w:rFonts w:ascii="Arial" w:cs="Arial" w:eastAsia="Arial" w:hAnsi="Arial"/>
          <w:rtl w:val="0"/>
        </w:rPr>
        <w:t xml:space="preserve"> deste artigo deverão conter, em linguagem clara e acessível, compatível com a faixa etária dos estudantes:</w:t>
      </w:r>
    </w:p>
    <w:p w:rsidR="00000000" w:rsidDel="00000000" w:rsidP="00000000" w:rsidRDefault="00000000" w:rsidRPr="00000000" w14:paraId="00000023">
      <w:pPr>
        <w:jc w:val="both"/>
        <w:rPr>
          <w:rFonts w:ascii="Arial" w:cs="Arial" w:eastAsia="Arial" w:hAnsi="Arial"/>
        </w:rPr>
      </w:pPr>
      <w:r w:rsidDel="00000000" w:rsidR="00000000" w:rsidRPr="00000000">
        <w:rPr>
          <w:rtl w:val="0"/>
        </w:rPr>
      </w:r>
    </w:p>
    <w:p w:rsidR="00000000" w:rsidDel="00000000" w:rsidP="00000000" w:rsidRDefault="00000000" w:rsidRPr="00000000" w14:paraId="00000024">
      <w:pPr>
        <w:jc w:val="both"/>
        <w:rPr>
          <w:rFonts w:ascii="Arial" w:cs="Arial" w:eastAsia="Arial" w:hAnsi="Arial"/>
        </w:rPr>
      </w:pPr>
      <w:r w:rsidDel="00000000" w:rsidR="00000000" w:rsidRPr="00000000">
        <w:rPr>
          <w:rFonts w:ascii="Arial" w:cs="Arial" w:eastAsia="Arial" w:hAnsi="Arial"/>
          <w:b w:val="1"/>
          <w:bCs w:val="1"/>
          <w:rtl w:val="0"/>
        </w:rPr>
        <w:t xml:space="preserve">I -</w:t>
      </w:r>
      <w:r w:rsidDel="00000000" w:rsidR="00000000" w:rsidRPr="00000000">
        <w:rPr>
          <w:rFonts w:ascii="Arial" w:cs="Arial" w:eastAsia="Arial" w:hAnsi="Arial"/>
          <w:rtl w:val="0"/>
        </w:rPr>
        <w:t xml:space="preserve"> a explicação sobre o que caracteriza o bullying e o cyberbullying; </w:t>
      </w:r>
    </w:p>
    <w:p w:rsidR="00000000" w:rsidDel="00000000" w:rsidP="00000000" w:rsidRDefault="00000000" w:rsidRPr="00000000" w14:paraId="00000025">
      <w:pPr>
        <w:jc w:val="both"/>
        <w:rPr>
          <w:rFonts w:ascii="Arial" w:cs="Arial" w:eastAsia="Arial" w:hAnsi="Arial"/>
        </w:rPr>
      </w:pPr>
      <w:r w:rsidDel="00000000" w:rsidR="00000000" w:rsidRPr="00000000">
        <w:rPr>
          <w:rtl w:val="0"/>
        </w:rPr>
      </w:r>
    </w:p>
    <w:p w:rsidR="00000000" w:rsidDel="00000000" w:rsidP="00000000" w:rsidRDefault="00000000" w:rsidRPr="00000000" w14:paraId="00000026">
      <w:pPr>
        <w:jc w:val="both"/>
        <w:rPr>
          <w:rFonts w:ascii="Arial" w:cs="Arial" w:eastAsia="Arial" w:hAnsi="Arial"/>
        </w:rPr>
      </w:pPr>
      <w:r w:rsidDel="00000000" w:rsidR="00000000" w:rsidRPr="00000000">
        <w:rPr>
          <w:rFonts w:ascii="Arial" w:cs="Arial" w:eastAsia="Arial" w:hAnsi="Arial"/>
          <w:b w:val="1"/>
          <w:bCs w:val="1"/>
          <w:rtl w:val="0"/>
        </w:rPr>
        <w:t xml:space="preserve">II -</w:t>
      </w:r>
      <w:r w:rsidDel="00000000" w:rsidR="00000000" w:rsidRPr="00000000">
        <w:rPr>
          <w:rFonts w:ascii="Arial" w:cs="Arial" w:eastAsia="Arial" w:hAnsi="Arial"/>
          <w:rtl w:val="0"/>
        </w:rPr>
        <w:t xml:space="preserve"> a advertência de que tais condutas são ilícitas e geram responsabilização nos termos da legislação federal; </w:t>
      </w:r>
    </w:p>
    <w:p w:rsidR="00000000" w:rsidDel="00000000" w:rsidP="00000000" w:rsidRDefault="00000000" w:rsidRPr="00000000" w14:paraId="00000027">
      <w:pPr>
        <w:jc w:val="both"/>
        <w:rPr>
          <w:rFonts w:ascii="Arial" w:cs="Arial" w:eastAsia="Arial" w:hAnsi="Arial"/>
        </w:rPr>
      </w:pPr>
      <w:r w:rsidDel="00000000" w:rsidR="00000000" w:rsidRPr="00000000">
        <w:rPr>
          <w:rtl w:val="0"/>
        </w:rPr>
      </w:r>
    </w:p>
    <w:p w:rsidR="00000000" w:rsidDel="00000000" w:rsidP="00000000" w:rsidRDefault="00000000" w:rsidRPr="00000000" w14:paraId="00000028">
      <w:pPr>
        <w:jc w:val="both"/>
        <w:rPr>
          <w:rFonts w:ascii="Arial" w:cs="Arial" w:eastAsia="Arial" w:hAnsi="Arial"/>
        </w:rPr>
      </w:pPr>
      <w:r w:rsidDel="00000000" w:rsidR="00000000" w:rsidRPr="00000000">
        <w:rPr>
          <w:rFonts w:ascii="Arial" w:cs="Arial" w:eastAsia="Arial" w:hAnsi="Arial"/>
          <w:b w:val="1"/>
          <w:bCs w:val="1"/>
          <w:rtl w:val="0"/>
        </w:rPr>
        <w:t xml:space="preserve">III -</w:t>
      </w:r>
      <w:r w:rsidDel="00000000" w:rsidR="00000000" w:rsidRPr="00000000">
        <w:rPr>
          <w:rFonts w:ascii="Arial" w:cs="Arial" w:eastAsia="Arial" w:hAnsi="Arial"/>
          <w:rtl w:val="0"/>
        </w:rPr>
        <w:t xml:space="preserve"> a indicação clara dos canais internos da escola e dos canais externos e públicos para a realização de denúncias e busca de ajuda. </w:t>
      </w:r>
    </w:p>
    <w:p w:rsidR="00000000" w:rsidDel="00000000" w:rsidP="00000000" w:rsidRDefault="00000000" w:rsidRPr="00000000" w14:paraId="00000029">
      <w:pPr>
        <w:jc w:val="both"/>
        <w:rPr>
          <w:rFonts w:ascii="Arial" w:cs="Arial" w:eastAsia="Arial" w:hAnsi="Arial"/>
        </w:rPr>
      </w:pPr>
      <w:r w:rsidDel="00000000" w:rsidR="00000000" w:rsidRPr="00000000">
        <w:rPr>
          <w:rtl w:val="0"/>
        </w:rPr>
      </w:r>
    </w:p>
    <w:p w:rsidR="00000000" w:rsidDel="00000000" w:rsidP="00000000" w:rsidRDefault="00000000" w:rsidRPr="00000000" w14:paraId="0000002A">
      <w:pPr>
        <w:jc w:val="both"/>
        <w:rPr>
          <w:rFonts w:ascii="Arial" w:cs="Arial" w:eastAsia="Arial" w:hAnsi="Arial"/>
        </w:rPr>
      </w:pPr>
      <w:r w:rsidDel="00000000" w:rsidR="00000000" w:rsidRPr="00000000">
        <w:rPr>
          <w:rFonts w:ascii="Arial" w:cs="Arial" w:eastAsia="Arial" w:hAnsi="Arial"/>
          <w:b w:val="1"/>
          <w:bCs w:val="1"/>
          <w:rtl w:val="0"/>
        </w:rPr>
        <w:t xml:space="preserve">§ 2º</w:t>
      </w:r>
      <w:r w:rsidDel="00000000" w:rsidR="00000000" w:rsidRPr="00000000">
        <w:rPr>
          <w:rFonts w:ascii="Arial" w:cs="Arial" w:eastAsia="Arial" w:hAnsi="Arial"/>
          <w:rtl w:val="0"/>
        </w:rPr>
        <w:t xml:space="preserve"> No caso de plataformas digitais ou ambientes virtuais de aprendizagem geridos pelas instituições de ensino, as informações previstas neste artigo deverão ser disponibilizadas em formato de banner ou aba de fácil acesso, devendo ser disponibilizado canal digital para o registro de ocorrências verificadas nesses ambientes. </w:t>
      </w:r>
    </w:p>
    <w:p w:rsidR="00000000" w:rsidDel="00000000" w:rsidP="00000000" w:rsidRDefault="00000000" w:rsidRPr="00000000" w14:paraId="0000002B">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 3º</w:t>
      </w:r>
      <w:r w:rsidDel="00000000" w:rsidR="00000000" w:rsidRPr="00000000">
        <w:rPr>
          <w:rFonts w:ascii="Arial" w:cs="Arial" w:eastAsia="Arial" w:hAnsi="Arial"/>
          <w:rtl w:val="0"/>
        </w:rPr>
        <w:t xml:space="preserve"> Para o cumprimento do disposto neste artigo, o Poder Público poderá disponibilizar o modelo oficial do cartaz em formato digital em seu sítio eletrônico oficial, competindo a cada unidade escolar a sua respectiva impressão e afixação. </w:t>
      </w:r>
    </w:p>
    <w:p w:rsidR="00000000" w:rsidDel="00000000" w:rsidP="00000000" w:rsidRDefault="00000000" w:rsidRPr="00000000" w14:paraId="0000002C">
      <w:pPr>
        <w:jc w:val="both"/>
        <w:rPr>
          <w:rFonts w:ascii="Arial" w:cs="Arial" w:eastAsia="Arial" w:hAnsi="Arial"/>
        </w:rPr>
      </w:pPr>
      <w:r w:rsidDel="00000000" w:rsidR="00000000" w:rsidRPr="00000000">
        <w:rPr>
          <w:rFonts w:ascii="Arial" w:cs="Arial" w:eastAsia="Arial" w:hAnsi="Arial"/>
          <w:b w:val="1"/>
          <w:bCs w:val="1"/>
          <w:rtl w:val="0"/>
        </w:rPr>
        <w:t xml:space="preserve">Art. 8º</w:t>
      </w:r>
      <w:r w:rsidDel="00000000" w:rsidR="00000000" w:rsidRPr="00000000">
        <w:rPr>
          <w:rFonts w:ascii="Arial" w:cs="Arial" w:eastAsia="Arial" w:hAnsi="Arial"/>
          <w:rtl w:val="0"/>
        </w:rPr>
        <w:t xml:space="preserve"> O Poder Executivo poderá firmar parcerias e convênios com organizações da sociedade civil, universidades e centros de pesquisa para a efetivação das diretrizes desta Lei.</w:t>
      </w:r>
    </w:p>
    <w:p w:rsidR="00000000" w:rsidDel="00000000" w:rsidP="00000000" w:rsidRDefault="00000000" w:rsidRPr="00000000" w14:paraId="0000002D">
      <w:pPr>
        <w:jc w:val="both"/>
        <w:rPr>
          <w:rFonts w:ascii="Arial" w:cs="Arial" w:eastAsia="Arial" w:hAnsi="Arial"/>
        </w:rPr>
      </w:pPr>
      <w:r w:rsidDel="00000000" w:rsidR="00000000" w:rsidRPr="00000000">
        <w:rPr>
          <w:rtl w:val="0"/>
        </w:rPr>
      </w:r>
    </w:p>
    <w:p w:rsidR="00000000" w:rsidDel="00000000" w:rsidP="00000000" w:rsidRDefault="00000000" w:rsidRPr="00000000" w14:paraId="0000002E">
      <w:pPr>
        <w:jc w:val="both"/>
        <w:rPr>
          <w:rFonts w:ascii="Arial" w:cs="Arial" w:eastAsia="Arial" w:hAnsi="Arial"/>
        </w:rPr>
      </w:pPr>
      <w:r w:rsidDel="00000000" w:rsidR="00000000" w:rsidRPr="00000000">
        <w:rPr>
          <w:rFonts w:ascii="Arial" w:cs="Arial" w:eastAsia="Arial" w:hAnsi="Arial"/>
          <w:b w:val="1"/>
          <w:bCs w:val="1"/>
          <w:rtl w:val="0"/>
        </w:rPr>
        <w:t xml:space="preserve">Art. 9º</w:t>
      </w:r>
      <w:r w:rsidDel="00000000" w:rsidR="00000000" w:rsidRPr="00000000">
        <w:rPr>
          <w:rFonts w:ascii="Arial" w:cs="Arial" w:eastAsia="Arial" w:hAnsi="Arial"/>
          <w:rtl w:val="0"/>
        </w:rPr>
        <w:t xml:space="preserve"> As despesas decorrentes da execução desta Lei correrão por conta de dotações orçamentárias próprias, suplementadas se necessário.</w:t>
      </w:r>
    </w:p>
    <w:p w:rsidR="00000000" w:rsidDel="00000000" w:rsidP="00000000" w:rsidRDefault="00000000" w:rsidRPr="00000000" w14:paraId="0000002F">
      <w:pPr>
        <w:jc w:val="both"/>
        <w:rPr>
          <w:rFonts w:ascii="Arial" w:cs="Arial" w:eastAsia="Arial" w:hAnsi="Arial"/>
        </w:rPr>
      </w:pPr>
      <w:r w:rsidDel="00000000" w:rsidR="00000000" w:rsidRPr="00000000">
        <w:rPr>
          <w:rtl w:val="0"/>
        </w:rPr>
      </w:r>
    </w:p>
    <w:p w:rsidR="00000000" w:rsidDel="00000000" w:rsidP="00000000" w:rsidRDefault="00000000" w:rsidRPr="00000000" w14:paraId="00000030">
      <w:pPr>
        <w:jc w:val="both"/>
        <w:rPr>
          <w:rFonts w:ascii="Arial" w:cs="Arial" w:eastAsia="Arial" w:hAnsi="Arial"/>
        </w:rPr>
      </w:pPr>
      <w:r w:rsidDel="00000000" w:rsidR="00000000" w:rsidRPr="00000000">
        <w:rPr>
          <w:rFonts w:ascii="Arial" w:cs="Arial" w:eastAsia="Arial" w:hAnsi="Arial"/>
          <w:b w:val="1"/>
          <w:bCs w:val="1"/>
          <w:rtl w:val="0"/>
        </w:rPr>
        <w:t xml:space="preserve">Art. 10.</w:t>
      </w:r>
      <w:r w:rsidDel="00000000" w:rsidR="00000000" w:rsidRPr="00000000">
        <w:rPr>
          <w:rFonts w:ascii="Arial" w:cs="Arial" w:eastAsia="Arial" w:hAnsi="Arial"/>
          <w:rtl w:val="0"/>
        </w:rPr>
        <w:t xml:space="preserve"> O Poder Executivo regulamentará esta Lei no que couber.</w:t>
      </w:r>
    </w:p>
    <w:p w:rsidR="00000000" w:rsidDel="00000000" w:rsidP="00000000" w:rsidRDefault="00000000" w:rsidRPr="00000000" w14:paraId="00000031">
      <w:pPr>
        <w:jc w:val="both"/>
        <w:rPr>
          <w:rFonts w:ascii="Arial" w:cs="Arial" w:eastAsia="Arial" w:hAnsi="Arial"/>
        </w:rPr>
      </w:pPr>
      <w:r w:rsidDel="00000000" w:rsidR="00000000" w:rsidRPr="00000000">
        <w:rPr>
          <w:rtl w:val="0"/>
        </w:rPr>
      </w:r>
    </w:p>
    <w:p w:rsidR="00000000" w:rsidDel="00000000" w:rsidP="00000000" w:rsidRDefault="00000000" w:rsidRPr="00000000" w14:paraId="00000032">
      <w:pPr>
        <w:jc w:val="both"/>
        <w:rPr>
          <w:rFonts w:ascii="Arial" w:cs="Arial" w:eastAsia="Arial" w:hAnsi="Arial"/>
        </w:rPr>
      </w:pPr>
      <w:r w:rsidDel="00000000" w:rsidR="00000000" w:rsidRPr="00000000">
        <w:rPr>
          <w:rFonts w:ascii="Arial" w:cs="Arial" w:eastAsia="Arial" w:hAnsi="Arial"/>
          <w:b w:val="1"/>
          <w:bCs w:val="1"/>
          <w:rtl w:val="0"/>
        </w:rPr>
        <w:t xml:space="preserve">Art. 11.</w:t>
      </w:r>
      <w:r w:rsidDel="00000000" w:rsidR="00000000" w:rsidRPr="00000000">
        <w:rPr>
          <w:rFonts w:ascii="Arial" w:cs="Arial" w:eastAsia="Arial" w:hAnsi="Arial"/>
          <w:rtl w:val="0"/>
        </w:rPr>
        <w:t xml:space="preserve"> Esta Lei entra em vigor na data de sua publicação.</w:t>
      </w:r>
    </w:p>
    <w:p w:rsidR="00000000" w:rsidDel="00000000" w:rsidP="00000000" w:rsidRDefault="00000000" w:rsidRPr="00000000" w14:paraId="00000033">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4">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35">
      <w:pPr>
        <w:jc w:val="right"/>
        <w:rPr>
          <w:rFonts w:ascii="Arial" w:cs="Arial" w:eastAsia="Arial" w:hAnsi="Arial"/>
        </w:rPr>
      </w:pPr>
      <w:bookmarkStart w:colFirst="0" w:colLast="0" w:name="_heading=h.dwffru1u1lup" w:id="1"/>
      <w:bookmarkEnd w:id="1"/>
      <w:r w:rsidDel="00000000" w:rsidR="00000000" w:rsidRPr="00000000">
        <w:rPr>
          <w:rFonts w:ascii="Arial" w:cs="Arial" w:eastAsia="Arial" w:hAnsi="Arial"/>
          <w:color w:val="000000"/>
          <w:rtl w:val="0"/>
        </w:rPr>
        <w:t xml:space="preserve">Plenário Brígido Tinoco, </w:t>
      </w:r>
      <w:r w:rsidDel="00000000" w:rsidR="00000000" w:rsidRPr="00000000">
        <w:rPr>
          <w:rFonts w:ascii="Arial" w:cs="Arial" w:eastAsia="Arial" w:hAnsi="Arial"/>
          <w:rtl w:val="0"/>
        </w:rPr>
        <w:t xml:space="preserve">18 de maio de 2026. </w:t>
      </w:r>
    </w:p>
    <w:p w:rsidR="00000000" w:rsidDel="00000000" w:rsidP="00000000" w:rsidRDefault="00000000" w:rsidRPr="00000000" w14:paraId="00000036">
      <w:pPr>
        <w:jc w:val="right"/>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7">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8">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9">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Professor Tulio</w:t>
      </w:r>
    </w:p>
    <w:p w:rsidR="00000000" w:rsidDel="00000000" w:rsidP="00000000" w:rsidRDefault="00000000" w:rsidRPr="00000000" w14:paraId="0000003A">
      <w:pP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B">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C">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D">
      <w:pPr>
        <w:rPr>
          <w:rFonts w:ascii="Arial" w:cs="Arial" w:eastAsia="Arial" w:hAnsi="Arial"/>
        </w:rPr>
      </w:pPr>
      <w:r w:rsidDel="00000000" w:rsidR="00000000" w:rsidRPr="00000000">
        <w:rPr>
          <w:rFonts w:ascii="Arial" w:cs="Arial" w:eastAsia="Arial" w:hAnsi="Arial"/>
          <w:b w:val="1"/>
          <w:bCs w:val="1"/>
          <w:rtl w:val="0"/>
        </w:rPr>
        <w:t xml:space="preserve">JUSTIFICATIVA</w:t>
      </w:r>
      <w:r w:rsidDel="00000000" w:rsidR="00000000" w:rsidRPr="00000000">
        <w:rPr>
          <w:rtl w:val="0"/>
        </w:rPr>
      </w:r>
    </w:p>
    <w:p w:rsidR="00000000" w:rsidDel="00000000" w:rsidP="00000000" w:rsidRDefault="00000000" w:rsidRPr="00000000" w14:paraId="0000003E">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A violência no ambiente escolar, manifestada através do </w:t>
      </w:r>
      <w:r w:rsidDel="00000000" w:rsidR="00000000" w:rsidRPr="00000000">
        <w:rPr>
          <w:rFonts w:ascii="Arial" w:cs="Arial" w:eastAsia="Arial" w:hAnsi="Arial"/>
          <w:i w:val="1"/>
          <w:iCs w:val="1"/>
          <w:rtl w:val="0"/>
        </w:rPr>
        <w:t xml:space="preserve">bullying</w:t>
      </w:r>
      <w:r w:rsidDel="00000000" w:rsidR="00000000" w:rsidRPr="00000000">
        <w:rPr>
          <w:rFonts w:ascii="Arial" w:cs="Arial" w:eastAsia="Arial" w:hAnsi="Arial"/>
          <w:rtl w:val="0"/>
        </w:rPr>
        <w:t xml:space="preserve"> e do </w:t>
      </w:r>
      <w:r w:rsidDel="00000000" w:rsidR="00000000" w:rsidRPr="00000000">
        <w:rPr>
          <w:rFonts w:ascii="Arial" w:cs="Arial" w:eastAsia="Arial" w:hAnsi="Arial"/>
          <w:i w:val="1"/>
          <w:iCs w:val="1"/>
          <w:rtl w:val="0"/>
        </w:rPr>
        <w:t xml:space="preserve">cyberbullying</w:t>
      </w:r>
      <w:r w:rsidDel="00000000" w:rsidR="00000000" w:rsidRPr="00000000">
        <w:rPr>
          <w:rFonts w:ascii="Arial" w:cs="Arial" w:eastAsia="Arial" w:hAnsi="Arial"/>
          <w:rtl w:val="0"/>
        </w:rPr>
        <w:t xml:space="preserve">, é um problema que afeta o desenvolvimento psicológico, emocional e educacional de crianças e adolescentes. O sofrimento decorrente dessas práticas interfere no aprendizado e gera reflexos negativos que podem se estender até a vida adulta.</w:t>
      </w:r>
    </w:p>
    <w:p w:rsidR="00000000" w:rsidDel="00000000" w:rsidP="00000000" w:rsidRDefault="00000000" w:rsidRPr="00000000" w14:paraId="0000003F">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Embora o Brasil conte com marcos legais nacionais, como a Lei Federal nº 13.185/2015 e a Lei nº 14.811/2024, a aplicação prática dessas normas exige o desenho de diretrizes locais que dialoguem com a realidade do município. Este projeto de lei nasce para suprir essa lacuna em Niterói, estabelecendo parâmetros para os estabelecimentos de ensino, tanto no espaço físico quanto nos ambientes virtuais de aprendizagem.</w:t>
      </w:r>
    </w:p>
    <w:p w:rsidR="00000000" w:rsidDel="00000000" w:rsidP="00000000" w:rsidRDefault="00000000" w:rsidRPr="00000000" w14:paraId="00000040">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No que tange à constitucionalidade, a proposição alinha-se às competências legislativas municipais. Em consonância com a jurisprudência do Supremo Tribunal Federal (STF), o texto adota a técnica de fixação de diretrizes gerais de política pública, preservando as atribuições do Poder Executivo. Ao direcionar deveres de funcionamento e de informação aos estabelecimentos de ensino, sem criar órgãos ou reestruturar a Administração Pública, a matéria afasta o vício de iniciativa e apresenta-se viável para a deliberação desta Casa.</w:t>
      </w:r>
    </w:p>
    <w:p w:rsidR="00000000" w:rsidDel="00000000" w:rsidP="00000000" w:rsidRDefault="00000000" w:rsidRPr="00000000" w14:paraId="00000041">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O enfrentamento ao </w:t>
      </w:r>
      <w:r w:rsidDel="00000000" w:rsidR="00000000" w:rsidRPr="00000000">
        <w:rPr>
          <w:rFonts w:ascii="Arial" w:cs="Arial" w:eastAsia="Arial" w:hAnsi="Arial"/>
          <w:i w:val="1"/>
          <w:iCs w:val="1"/>
          <w:rtl w:val="0"/>
        </w:rPr>
        <w:t xml:space="preserve">bullying</w:t>
      </w:r>
      <w:r w:rsidDel="00000000" w:rsidR="00000000" w:rsidRPr="00000000">
        <w:rPr>
          <w:rFonts w:ascii="Arial" w:cs="Arial" w:eastAsia="Arial" w:hAnsi="Arial"/>
          <w:rtl w:val="0"/>
        </w:rPr>
        <w:t xml:space="preserve"> não se consolida apenas com o isolamento ou com medidas puramente punitivas. A lógica punitiva, que atua somente após o dano consolidado, falha em reparar o trauma da vítima e em modificar o comportamento do agressor.</w:t>
      </w:r>
    </w:p>
    <w:p w:rsidR="00000000" w:rsidDel="00000000" w:rsidP="00000000" w:rsidRDefault="00000000" w:rsidRPr="00000000" w14:paraId="00000042">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Por isso, esta proposta adota a Justiça Restaurativa e a Mediação Escolar como pilares centrais. Alinhadas às orientações contemporâneas de pedagogia e direitos da infância, as práticas restaurativas (como os círculos de construção de paz, por exemplo) buscam a conscientização sobre o impacto das ações, o acolhimento da vítima, a responsabilização ativa do ofensor e a recomposição das relações interpessoais.</w:t>
      </w:r>
    </w:p>
    <w:p w:rsidR="00000000" w:rsidDel="00000000" w:rsidP="00000000" w:rsidRDefault="00000000" w:rsidRPr="00000000" w14:paraId="00000043">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Para a viabilidade dessa transição, o projeto define a inclusão do tema na formação continuada dos profissionais da educação, que atuam diretamente na identificação e mediação desses conflitos.</w:t>
      </w:r>
    </w:p>
    <w:p w:rsidR="00000000" w:rsidDel="00000000" w:rsidP="00000000" w:rsidRDefault="00000000" w:rsidRPr="00000000" w14:paraId="00000044">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Ademais, a proposição assegura o direito à informação por meio de cartazes e informativos digitais. A linguagem adotada evita termos estigmatizantes do direito penal comum, adequando-se ao Estatuto da Criança e do Adolescente (ECA) ao tratar as condutas como ilícitas e sujeitas à responsabilização. O texto também confere atenção específica à proteção de estudantes com deficiência, transtornos globais do desenvolvimento e altas habilidades, que estatisticamente figuram como alvos frequentes dessa violência.</w:t>
      </w:r>
    </w:p>
    <w:p w:rsidR="00000000" w:rsidDel="00000000" w:rsidP="00000000" w:rsidRDefault="00000000" w:rsidRPr="00000000" w14:paraId="00000045">
      <w:pPr>
        <w:spacing w:after="240" w:before="240" w:lineRule="auto"/>
        <w:ind w:firstLine="720"/>
        <w:jc w:val="both"/>
        <w:rPr>
          <w:rFonts w:ascii="Arial" w:cs="Arial" w:eastAsia="Arial" w:hAnsi="Arial"/>
        </w:rPr>
      </w:pPr>
      <w:r w:rsidDel="00000000" w:rsidR="00000000" w:rsidRPr="00000000">
        <w:rPr>
          <w:rFonts w:ascii="Arial" w:cs="Arial" w:eastAsia="Arial" w:hAnsi="Arial"/>
          <w:rtl w:val="0"/>
        </w:rPr>
        <w:t xml:space="preserve">Legislar sobre este tema em Niterói é uma escolha pela cultura de paz e pela segurança nas escolas.</w:t>
      </w:r>
    </w:p>
    <w:p w:rsidR="00000000" w:rsidDel="00000000" w:rsidP="00000000" w:rsidRDefault="00000000" w:rsidRPr="00000000" w14:paraId="00000046">
      <w:pPr>
        <w:jc w:val="both"/>
        <w:rPr>
          <w:rFonts w:ascii="Arial" w:cs="Arial" w:eastAsia="Arial" w:hAnsi="Arial"/>
        </w:rPr>
      </w:pPr>
      <w:r w:rsidDel="00000000" w:rsidR="00000000" w:rsidRPr="00000000">
        <w:rPr>
          <w:rtl w:val="0"/>
        </w:rPr>
      </w:r>
    </w:p>
    <w:sectPr>
      <w:headerReference r:id="rId7" w:type="default"/>
      <w:pgSz w:h="16837" w:w="11905"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
      <w:tblW w:w="9274.0" w:type="dxa"/>
      <w:jc w:val="left"/>
      <w:tblInd w:w="2.0" w:type="dxa"/>
      <w:tblLayout w:type="fixed"/>
      <w:tblLook w:val="0000"/>
    </w:tblPr>
    <w:tblGrid>
      <w:gridCol w:w="1739"/>
      <w:gridCol w:w="7535"/>
      <w:tblGridChange w:id="0">
        <w:tblGrid>
          <w:gridCol w:w="1739"/>
          <w:gridCol w:w="7535"/>
        </w:tblGrid>
      </w:tblGridChange>
    </w:tblGrid>
    <w:tr>
      <w:trPr>
        <w:cantSplit w:val="0"/>
        <w:trHeight w:val="35.0006103515625" w:hRule="atLeast"/>
        <w:tblHeader w:val="0"/>
      </w:trPr>
      <w:tc>
        <w:tcPr/>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leader="none" w:pos="4252"/>
              <w:tab w:val="right" w:leader="none" w:pos="8504"/>
            </w:tabs>
            <w:rPr>
              <w:rFonts w:ascii="Tahoma" w:cs="Tahoma" w:eastAsia="Tahoma" w:hAnsi="Tahoma"/>
              <w:color w:val="000000"/>
            </w:rPr>
          </w:pPr>
          <w:bookmarkStart w:colFirst="0" w:colLast="0" w:name="_heading=h.22mfpbtpb4o2" w:id="2"/>
          <w:bookmarkEnd w:id="2"/>
          <w:r w:rsidDel="00000000" w:rsidR="00000000" w:rsidRPr="00000000">
            <w:rPr>
              <w:rtl w:val="0"/>
            </w:rPr>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-387348</wp:posOffset>
                </wp:positionH>
                <wp:positionV relativeFrom="paragraph">
                  <wp:posOffset>9525</wp:posOffset>
                </wp:positionV>
                <wp:extent cx="828675" cy="101854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40"/>
                        </a:xfrm>
                        <a:prstGeom prst="rect"/>
                        <a:ln/>
                      </pic:spPr>
                    </pic:pic>
                  </a:graphicData>
                </a:graphic>
              </wp:anchor>
            </w:drawing>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center" w:leader="none" w:pos="4252"/>
              <w:tab w:val="right" w:leader="none" w:pos="8504"/>
              <w:tab w:val="left" w:leader="none" w:pos="675"/>
            </w:tabs>
            <w:jc w:val="center"/>
            <w:rPr>
              <w:rFonts w:ascii="Arial" w:cs="Arial" w:eastAsia="Arial" w:hAnsi="Arial"/>
              <w:b w:val="1"/>
              <w:bCs w:val="1"/>
              <w:color w:val="000000"/>
              <w:sz w:val="44"/>
              <w:szCs w:val="44"/>
            </w:rPr>
          </w:pPr>
          <w:r w:rsidDel="00000000" w:rsidR="00000000" w:rsidRPr="00000000">
            <w:rPr>
              <w:rFonts w:ascii="Arial" w:cs="Arial" w:eastAsia="Arial" w:hAnsi="Arial"/>
              <w:b w:val="1"/>
              <w:bCs w:val="1"/>
              <w:color w:val="000000"/>
              <w:sz w:val="44"/>
              <w:szCs w:val="44"/>
              <w:rtl w:val="0"/>
            </w:rPr>
            <w:t xml:space="preserve">Câmara Municipal de Niterói</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center" w:leader="none" w:pos="4252"/>
              <w:tab w:val="right" w:leader="none" w:pos="8504"/>
            </w:tabs>
            <w:jc w:val="center"/>
            <w:rPr>
              <w:rFonts w:ascii="Arial" w:cs="Arial" w:eastAsia="Arial" w:hAnsi="Arial"/>
              <w:b w:val="1"/>
              <w:bCs w:val="1"/>
              <w:color w:val="000000"/>
              <w:sz w:val="28"/>
              <w:szCs w:val="28"/>
            </w:rPr>
          </w:pPr>
          <w:r w:rsidDel="00000000" w:rsidR="00000000" w:rsidRPr="00000000">
            <w:rPr>
              <w:rFonts w:ascii="Arial" w:cs="Arial" w:eastAsia="Arial" w:hAnsi="Arial"/>
              <w:b w:val="1"/>
              <w:bCs w:val="1"/>
              <w:color w:val="000000"/>
              <w:sz w:val="28"/>
              <w:szCs w:val="28"/>
              <w:rtl w:val="0"/>
            </w:rPr>
            <w:t xml:space="preserve">Gabinete Vereador Professor Tulio</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center" w:leader="none" w:pos="4252"/>
              <w:tab w:val="right" w:leader="none" w:pos="8504"/>
            </w:tabs>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color w:val="000000"/>
              <w:rtl w:val="0"/>
            </w:rPr>
            <w:t xml:space="preserve">Partido Socialismo e Liberdade (PSOL)</w:t>
          </w:r>
          <w:r w:rsidDel="00000000" w:rsidR="00000000" w:rsidRPr="00000000">
            <w:rPr>
              <w:rtl w:val="0"/>
            </w:rPr>
          </w:r>
        </w:p>
      </w:tc>
    </w:tr>
  </w:tbl>
  <w:p w:rsidR="00000000" w:rsidDel="00000000" w:rsidP="00000000" w:rsidRDefault="00000000" w:rsidRPr="00000000" w14:paraId="0000004D">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WmnSSzrrQBhQCzBlP4dhndw3Fw==">CgMxLjAyDmgua2FrbG5tNmN3c21pMg5oLmR3ZmZydTF1MWx1cDIOaC4yMm1mcGJ0cGI0bzI4AHIhMVpHVG4zWWF6bXZFRGphaVY5eVhjeXNhWUUwT2hVQk84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