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996C6" w14:textId="4E0CE9C8" w:rsidR="003A68C5" w:rsidRDefault="00000000">
      <w:pPr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EMENDA </w:t>
      </w:r>
      <w:r w:rsidR="0044545B">
        <w:rPr>
          <w:rFonts w:ascii="Cambria" w:eastAsia="Cambria" w:hAnsi="Cambria" w:cs="Cambria"/>
          <w:b/>
        </w:rPr>
        <w:t>ADITIVA</w:t>
      </w:r>
      <w:r>
        <w:rPr>
          <w:rFonts w:ascii="Cambria" w:eastAsia="Cambria" w:hAnsi="Cambria" w:cs="Cambria"/>
          <w:b/>
        </w:rPr>
        <w:t xml:space="preserve"> n.º </w:t>
      </w:r>
      <w:r w:rsidR="006C6F2F">
        <w:rPr>
          <w:rFonts w:ascii="Cambria" w:eastAsia="Cambria" w:hAnsi="Cambria" w:cs="Cambria"/>
          <w:b/>
        </w:rPr>
        <w:t>00</w:t>
      </w:r>
      <w:r w:rsidR="007C3871">
        <w:rPr>
          <w:rFonts w:ascii="Cambria" w:eastAsia="Cambria" w:hAnsi="Cambria" w:cs="Cambria"/>
          <w:b/>
        </w:rPr>
        <w:t>5</w:t>
      </w:r>
    </w:p>
    <w:p w14:paraId="08A9E1AE" w14:textId="77777777" w:rsidR="003A68C5" w:rsidRDefault="00000000">
      <w:pPr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AO PROJETO DE LEI n.º 165/2025</w:t>
      </w:r>
    </w:p>
    <w:p w14:paraId="78438914" w14:textId="77777777" w:rsidR="003A68C5" w:rsidRDefault="003A68C5">
      <w:pPr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144B4D0A" w14:textId="77777777" w:rsidR="002C357C" w:rsidRDefault="002C357C">
      <w:pPr>
        <w:ind w:left="3969"/>
        <w:jc w:val="both"/>
        <w:rPr>
          <w:b/>
          <w:bCs/>
        </w:rPr>
      </w:pPr>
    </w:p>
    <w:p w14:paraId="4F2DAA57" w14:textId="16B21D27" w:rsidR="003A68C5" w:rsidRDefault="007C3871">
      <w:pPr>
        <w:ind w:left="3969"/>
        <w:jc w:val="both"/>
        <w:rPr>
          <w:rFonts w:ascii="Cambria" w:eastAsia="Cambria" w:hAnsi="Cambria" w:cs="Cambria"/>
          <w:b/>
          <w:smallCaps/>
        </w:rPr>
      </w:pPr>
      <w:r w:rsidRPr="00261EBD">
        <w:rPr>
          <w:b/>
          <w:bCs/>
        </w:rPr>
        <w:t>INCLUI PARÁGRAFO AO ART. 3º DO PROJETO DE LEI PARA ASSEGURAR O CARÁTER LAICO E CIENTÍFICO DAS AÇÕES DE CONSCIENTIZAÇÃO.</w:t>
      </w:r>
    </w:p>
    <w:p w14:paraId="44885B81" w14:textId="77777777" w:rsidR="002C357C" w:rsidRDefault="002C357C" w:rsidP="002C357C">
      <w:pPr>
        <w:spacing w:after="160" w:line="278" w:lineRule="auto"/>
        <w:rPr>
          <w:b/>
          <w:bCs/>
        </w:rPr>
      </w:pPr>
    </w:p>
    <w:p w14:paraId="1C105262" w14:textId="77777777" w:rsidR="002C357C" w:rsidRDefault="002C357C" w:rsidP="002C357C">
      <w:pPr>
        <w:spacing w:after="160" w:line="278" w:lineRule="auto"/>
        <w:rPr>
          <w:b/>
          <w:bCs/>
        </w:rPr>
      </w:pPr>
    </w:p>
    <w:p w14:paraId="031E5639" w14:textId="77777777" w:rsidR="007C3871" w:rsidRPr="00261EBD" w:rsidRDefault="007C3871" w:rsidP="007C3871">
      <w:pPr>
        <w:spacing w:after="160" w:line="278" w:lineRule="auto"/>
      </w:pPr>
      <w:r w:rsidRPr="00261EBD">
        <w:rPr>
          <w:b/>
          <w:bCs/>
        </w:rPr>
        <w:t>Art. 1º</w:t>
      </w:r>
      <w:r w:rsidRPr="00261EBD">
        <w:t xml:space="preserve"> - Fica acrescido o seguinte parágrafo ao art. 3º do Projeto de Lei n.º 165/2025:</w:t>
      </w:r>
    </w:p>
    <w:p w14:paraId="503BDF4F" w14:textId="77777777" w:rsidR="007C3871" w:rsidRDefault="007C3871" w:rsidP="007C3871">
      <w:pPr>
        <w:spacing w:after="160" w:line="278" w:lineRule="auto"/>
        <w:ind w:left="720"/>
      </w:pPr>
      <w:r w:rsidRPr="00261EBD">
        <w:t xml:space="preserve">“Art. 3º (...) </w:t>
      </w:r>
    </w:p>
    <w:p w14:paraId="3DDE74C4" w14:textId="32D2B04E" w:rsidR="007C3871" w:rsidRPr="00261EBD" w:rsidRDefault="007C3871" w:rsidP="007C3871">
      <w:pPr>
        <w:spacing w:after="160" w:line="278" w:lineRule="auto"/>
        <w:ind w:left="720"/>
        <w:jc w:val="both"/>
      </w:pPr>
      <w:r w:rsidRPr="00261EBD">
        <w:t xml:space="preserve">§ </w:t>
      </w:r>
      <w:r>
        <w:t>5º</w:t>
      </w:r>
      <w:r w:rsidRPr="00261EBD">
        <w:t>. As ações de conscientização, sensibilização e educação para a autoproteção deverão observar estritamente a laicidade do Estado, baseando-se em evidências científicas, diretrizes de direitos humanos e na proteção da autonomia e integridade física e psíquica da criança e do adolescente.”</w:t>
      </w:r>
    </w:p>
    <w:p w14:paraId="7A4FCF67" w14:textId="55002F2B" w:rsidR="0044545B" w:rsidRPr="00261EBD" w:rsidRDefault="0044545B" w:rsidP="0044545B">
      <w:pPr>
        <w:spacing w:after="160" w:line="278" w:lineRule="auto"/>
        <w:ind w:left="720"/>
        <w:jc w:val="both"/>
      </w:pPr>
    </w:p>
    <w:p w14:paraId="0500EC92" w14:textId="41AEAF9D" w:rsidR="002C357C" w:rsidRPr="00261EBD" w:rsidRDefault="002C357C" w:rsidP="002C357C">
      <w:pPr>
        <w:spacing w:after="160" w:line="278" w:lineRule="auto"/>
        <w:ind w:left="720"/>
        <w:jc w:val="both"/>
      </w:pPr>
    </w:p>
    <w:p w14:paraId="2DDC46F6" w14:textId="3FAE3C25" w:rsidR="003A68C5" w:rsidRDefault="00000000">
      <w:pPr>
        <w:jc w:val="right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 xml:space="preserve">Sala das Sessões, </w:t>
      </w:r>
      <w:r w:rsidR="002C357C">
        <w:rPr>
          <w:rFonts w:ascii="Cambria" w:eastAsia="Cambria" w:hAnsi="Cambria" w:cs="Cambria"/>
        </w:rPr>
        <w:t>13</w:t>
      </w:r>
      <w:r>
        <w:rPr>
          <w:rFonts w:ascii="Cambria" w:eastAsia="Cambria" w:hAnsi="Cambria" w:cs="Cambria"/>
          <w:color w:val="000000"/>
        </w:rPr>
        <w:t xml:space="preserve"> de</w:t>
      </w:r>
      <w:r>
        <w:rPr>
          <w:rFonts w:ascii="Cambria" w:eastAsia="Cambria" w:hAnsi="Cambria" w:cs="Cambria"/>
        </w:rPr>
        <w:t xml:space="preserve"> </w:t>
      </w:r>
      <w:r w:rsidR="002C357C">
        <w:rPr>
          <w:rFonts w:ascii="Cambria" w:eastAsia="Cambria" w:hAnsi="Cambria" w:cs="Cambria"/>
        </w:rPr>
        <w:t>maio</w:t>
      </w:r>
      <w:r>
        <w:rPr>
          <w:rFonts w:ascii="Cambria" w:eastAsia="Cambria" w:hAnsi="Cambria" w:cs="Cambria"/>
          <w:color w:val="000000"/>
        </w:rPr>
        <w:t xml:space="preserve"> de 202</w:t>
      </w:r>
      <w:r w:rsidR="002C357C">
        <w:rPr>
          <w:rFonts w:ascii="Cambria" w:eastAsia="Cambria" w:hAnsi="Cambria" w:cs="Cambria"/>
          <w:color w:val="000000"/>
        </w:rPr>
        <w:t>6</w:t>
      </w:r>
      <w:r>
        <w:rPr>
          <w:rFonts w:ascii="Cambria" w:eastAsia="Cambria" w:hAnsi="Cambria" w:cs="Cambria"/>
          <w:color w:val="000000"/>
        </w:rPr>
        <w:t>.</w:t>
      </w:r>
    </w:p>
    <w:p w14:paraId="769B2128" w14:textId="77777777" w:rsidR="003A68C5" w:rsidRDefault="003A68C5">
      <w:pPr>
        <w:rPr>
          <w:rFonts w:ascii="Cambria" w:eastAsia="Cambria" w:hAnsi="Cambria" w:cs="Cambria"/>
          <w:b/>
        </w:rPr>
      </w:pPr>
    </w:p>
    <w:p w14:paraId="3853FAE9" w14:textId="77777777" w:rsidR="003A68C5" w:rsidRDefault="003A68C5">
      <w:pPr>
        <w:jc w:val="center"/>
        <w:rPr>
          <w:rFonts w:ascii="Cambria" w:eastAsia="Cambria" w:hAnsi="Cambria" w:cs="Cambria"/>
          <w:b/>
        </w:rPr>
      </w:pPr>
    </w:p>
    <w:p w14:paraId="08CD8E65" w14:textId="77777777" w:rsidR="003A68C5" w:rsidRDefault="003A68C5">
      <w:pPr>
        <w:jc w:val="center"/>
        <w:rPr>
          <w:rFonts w:ascii="Cambria" w:eastAsia="Cambria" w:hAnsi="Cambria" w:cs="Cambria"/>
          <w:b/>
          <w:color w:val="000000"/>
        </w:rPr>
      </w:pPr>
    </w:p>
    <w:p w14:paraId="3428940B" w14:textId="2110B4D0" w:rsidR="003A68C5" w:rsidRDefault="002C357C">
      <w:pPr>
        <w:jc w:val="center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</w:rPr>
        <w:t>Professor Tulio</w:t>
      </w:r>
    </w:p>
    <w:p w14:paraId="13C43620" w14:textId="77777777" w:rsidR="003A68C5" w:rsidRDefault="003A68C5">
      <w:pPr>
        <w:jc w:val="both"/>
        <w:rPr>
          <w:rFonts w:ascii="Cambria" w:eastAsia="Cambria" w:hAnsi="Cambria" w:cs="Cambria"/>
        </w:rPr>
      </w:pPr>
    </w:p>
    <w:p w14:paraId="19581A6D" w14:textId="77777777" w:rsidR="006D2BEC" w:rsidRDefault="006D2BEC">
      <w:pPr>
        <w:spacing w:before="200"/>
        <w:jc w:val="both"/>
        <w:rPr>
          <w:rFonts w:ascii="Cambria" w:eastAsia="Cambria" w:hAnsi="Cambria" w:cs="Cambria"/>
          <w:b/>
        </w:rPr>
      </w:pPr>
    </w:p>
    <w:p w14:paraId="695D3214" w14:textId="1674C938" w:rsidR="003A68C5" w:rsidRDefault="00000000">
      <w:pPr>
        <w:spacing w:before="20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JUSTIFICATIVA:</w:t>
      </w:r>
    </w:p>
    <w:p w14:paraId="37571BE8" w14:textId="56CB1093" w:rsidR="003A68C5" w:rsidRDefault="007C3871" w:rsidP="002C357C">
      <w:pPr>
        <w:spacing w:before="200"/>
        <w:ind w:firstLine="850"/>
        <w:jc w:val="both"/>
        <w:rPr>
          <w:rFonts w:ascii="Cambria" w:eastAsia="Cambria" w:hAnsi="Cambria" w:cs="Cambria"/>
        </w:rPr>
      </w:pPr>
      <w:r w:rsidRPr="00261EBD">
        <w:t>Considerando a diversidade das parcerias previstas no projeto original, esta emenda visa garantir que o combate ao abuso seja tratado como uma política de saúde e direitos humanos. É imperativo assegurar que o conteúdo educativo oferecido a crianças e famílias seja isento de dogmas religiosos ou morais que possam restringir o acesso à informação científica necessária para a efetiva autoproteção contra a violência sexual.</w:t>
      </w:r>
    </w:p>
    <w:sectPr w:rsidR="003A68C5">
      <w:headerReference w:type="default" r:id="rId7"/>
      <w:pgSz w:w="11905" w:h="16837"/>
      <w:pgMar w:top="993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EDB5B8" w14:textId="77777777" w:rsidR="00B7107E" w:rsidRDefault="00B7107E">
      <w:r>
        <w:separator/>
      </w:r>
    </w:p>
  </w:endnote>
  <w:endnote w:type="continuationSeparator" w:id="0">
    <w:p w14:paraId="31476B8C" w14:textId="77777777" w:rsidR="00B7107E" w:rsidRDefault="00B71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3A9073EC-4704-480E-A93F-AC7E969E2FE7}"/>
    <w:embedItalic r:id="rId2" w:fontKey="{01A7EF24-9A0A-4895-9E4C-895FD015F93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30DA89EC-B380-4B5E-933F-C1527A16D935}"/>
    <w:embedBold r:id="rId4" w:fontKey="{EAA272DC-B8BF-4E45-89E4-F091400BE60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67110909-29B7-49C6-84CA-4FC5E3105C0F}"/>
    <w:embedBold r:id="rId6" w:fontKey="{04D876B1-6757-4B9E-833C-15D2CB7275C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7A467E8B-AD99-425B-986A-00C109202C0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2BC94" w14:textId="77777777" w:rsidR="00B7107E" w:rsidRDefault="00B7107E">
      <w:r>
        <w:separator/>
      </w:r>
    </w:p>
  </w:footnote>
  <w:footnote w:type="continuationSeparator" w:id="0">
    <w:p w14:paraId="67089FE5" w14:textId="77777777" w:rsidR="00B7107E" w:rsidRDefault="00B710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3B3E6" w14:textId="77777777" w:rsidR="003A68C5" w:rsidRDefault="003A68C5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  <w:tbl>
    <w:tblPr>
      <w:tblStyle w:val="1"/>
      <w:tblW w:w="9274" w:type="dxa"/>
      <w:tblInd w:w="-214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3A68C5" w14:paraId="717029A0" w14:textId="77777777">
      <w:trPr>
        <w:trHeight w:val="1760"/>
      </w:trPr>
      <w:tc>
        <w:tcPr>
          <w:tcW w:w="1739" w:type="dxa"/>
        </w:tcPr>
        <w:p w14:paraId="4AC9388D" w14:textId="77777777" w:rsidR="003A68C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rFonts w:ascii="Tahoma" w:eastAsia="Tahoma" w:hAnsi="Tahoma" w:cs="Tahoma"/>
              <w:noProof/>
              <w:color w:val="000000"/>
              <w:sz w:val="22"/>
              <w:szCs w:val="22"/>
            </w:rPr>
            <w:drawing>
              <wp:inline distT="0" distB="0" distL="114300" distR="114300" wp14:anchorId="0C5B98BC" wp14:editId="30FF1633">
                <wp:extent cx="913765" cy="1123315"/>
                <wp:effectExtent l="0" t="0" r="0" b="0"/>
                <wp:docPr id="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3765" cy="112331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5" w:type="dxa"/>
        </w:tcPr>
        <w:p w14:paraId="248B5A55" w14:textId="77777777" w:rsidR="003A68C5" w:rsidRDefault="003A68C5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</w:rPr>
          </w:pPr>
        </w:p>
        <w:p w14:paraId="111531F1" w14:textId="77777777" w:rsidR="003A68C5" w:rsidRDefault="003A68C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10"/>
              <w:szCs w:val="10"/>
            </w:rPr>
          </w:pPr>
        </w:p>
        <w:p w14:paraId="7529B3D4" w14:textId="77777777" w:rsidR="003A68C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8"/>
              <w:szCs w:val="48"/>
            </w:rPr>
          </w:pPr>
          <w:r>
            <w:rPr>
              <w:rFonts w:ascii="Arial" w:eastAsia="Arial" w:hAnsi="Arial" w:cs="Arial"/>
              <w:b/>
              <w:color w:val="000000"/>
              <w:sz w:val="48"/>
              <w:szCs w:val="48"/>
            </w:rPr>
            <w:t>Câmara Municipal de Niterói</w:t>
          </w:r>
        </w:p>
        <w:p w14:paraId="224E6A57" w14:textId="77777777" w:rsidR="003A68C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32"/>
              <w:szCs w:val="32"/>
            </w:rPr>
            <w:t xml:space="preserve">Gabinete do Vereador </w:t>
          </w:r>
          <w:r w:rsidR="002C357C">
            <w:rPr>
              <w:rFonts w:ascii="Arial" w:eastAsia="Arial" w:hAnsi="Arial" w:cs="Arial"/>
              <w:b/>
              <w:color w:val="000000"/>
              <w:sz w:val="32"/>
              <w:szCs w:val="32"/>
            </w:rPr>
            <w:t>Professor Tulio</w:t>
          </w:r>
        </w:p>
        <w:p w14:paraId="5BE4BE94" w14:textId="592E4B60" w:rsidR="002C357C" w:rsidRDefault="002C357C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Tahoma" w:eastAsia="Tahoma" w:hAnsi="Tahoma" w:cs="Tahoma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32"/>
              <w:szCs w:val="32"/>
            </w:rPr>
            <w:t>Partido Socialismo e Liberdade – PSOL</w:t>
          </w:r>
        </w:p>
      </w:tc>
    </w:tr>
  </w:tbl>
  <w:p w14:paraId="76F9D49C" w14:textId="77777777" w:rsidR="003A68C5" w:rsidRDefault="003A68C5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8C5"/>
    <w:rsid w:val="00254CD8"/>
    <w:rsid w:val="002C357C"/>
    <w:rsid w:val="003A68C5"/>
    <w:rsid w:val="0044545B"/>
    <w:rsid w:val="004846C8"/>
    <w:rsid w:val="006C6F2F"/>
    <w:rsid w:val="006D2BEC"/>
    <w:rsid w:val="006F62E0"/>
    <w:rsid w:val="007C3871"/>
    <w:rsid w:val="008F3F87"/>
    <w:rsid w:val="0097544C"/>
    <w:rsid w:val="009C3C5D"/>
    <w:rsid w:val="00B7107E"/>
    <w:rsid w:val="00C26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EB5A2"/>
  <w15:docId w15:val="{CB94B49B-2853-4435-9ADF-DC01F8861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3">
    <w:name w:val="3"/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">
    <w:name w:val="2"/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C2A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C2AE3"/>
  </w:style>
  <w:style w:type="paragraph" w:styleId="Rodap">
    <w:name w:val="footer"/>
    <w:basedOn w:val="Normal"/>
    <w:link w:val="RodapChar"/>
    <w:uiPriority w:val="99"/>
    <w:unhideWhenUsed/>
    <w:rsid w:val="00CC2A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C2AE3"/>
  </w:style>
  <w:style w:type="paragraph" w:styleId="Textodebalo">
    <w:name w:val="Balloon Text"/>
    <w:basedOn w:val="Normal"/>
    <w:link w:val="TextodebaloChar"/>
    <w:uiPriority w:val="99"/>
    <w:semiHidden/>
    <w:unhideWhenUsed/>
    <w:rsid w:val="00A7224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2249"/>
    <w:rPr>
      <w:rFonts w:ascii="Tahoma" w:hAnsi="Tahoma" w:cs="Tahoma"/>
      <w:sz w:val="16"/>
      <w:szCs w:val="16"/>
    </w:rPr>
  </w:style>
  <w:style w:type="table" w:customStyle="1" w:styleId="1">
    <w:name w:val="1"/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l3BQaQOy218tev/9ZnQLzqHslg==">CgMxLjA4AHIhMXB5bkhGTGFuTGJpNUpyZk9JZDJMb1lySmlPV1BjcFg5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909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Jhonatan</dc:creator>
  <cp:lastModifiedBy>Vereador Professor Tulio</cp:lastModifiedBy>
  <cp:revision>3</cp:revision>
  <cp:lastPrinted>2026-05-13T16:57:00Z</cp:lastPrinted>
  <dcterms:created xsi:type="dcterms:W3CDTF">2026-05-13T16:58:00Z</dcterms:created>
  <dcterms:modified xsi:type="dcterms:W3CDTF">2026-05-13T17:00:00Z</dcterms:modified>
</cp:coreProperties>
</file>