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3BB01" w14:textId="71D04668" w:rsidR="00E21828" w:rsidRDefault="00C018B0">
      <w:pPr>
        <w:tabs>
          <w:tab w:val="left" w:pos="3180"/>
        </w:tabs>
        <w:spacing w:line="24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EMENDA </w:t>
      </w:r>
      <w:r w:rsidR="00FF7076">
        <w:rPr>
          <w:rFonts w:ascii="Tahoma" w:eastAsia="Tahoma" w:hAnsi="Tahoma" w:cs="Tahoma"/>
          <w:b/>
        </w:rPr>
        <w:t>ADITIVA</w:t>
      </w:r>
      <w:r w:rsidR="001E28BD">
        <w:rPr>
          <w:rFonts w:ascii="Tahoma" w:eastAsia="Tahoma" w:hAnsi="Tahoma" w:cs="Tahoma"/>
          <w:b/>
        </w:rPr>
        <w:t xml:space="preserve"> Nº</w:t>
      </w:r>
      <w:r>
        <w:rPr>
          <w:rFonts w:ascii="Tahoma" w:eastAsia="Tahoma" w:hAnsi="Tahoma" w:cs="Tahoma"/>
          <w:b/>
        </w:rPr>
        <w:t xml:space="preserve">    /202</w:t>
      </w:r>
      <w:r w:rsidR="00E84A7B">
        <w:rPr>
          <w:rFonts w:ascii="Tahoma" w:eastAsia="Tahoma" w:hAnsi="Tahoma" w:cs="Tahoma"/>
          <w:b/>
        </w:rPr>
        <w:t>6</w:t>
      </w:r>
    </w:p>
    <w:p w14:paraId="3859B55C" w14:textId="6CDF51F1" w:rsidR="00E21828" w:rsidRDefault="00E21828">
      <w:pPr>
        <w:spacing w:line="240" w:lineRule="auto"/>
        <w:jc w:val="center"/>
        <w:rPr>
          <w:rFonts w:ascii="Tahoma" w:eastAsia="Tahoma" w:hAnsi="Tahoma" w:cs="Tahoma"/>
        </w:rPr>
      </w:pPr>
    </w:p>
    <w:p w14:paraId="648F5366" w14:textId="1E175886" w:rsidR="00E21828" w:rsidRPr="00707D8A" w:rsidRDefault="00C018B0">
      <w:pPr>
        <w:spacing w:line="240" w:lineRule="auto"/>
        <w:jc w:val="center"/>
        <w:rPr>
          <w:rFonts w:ascii="Tahoma" w:eastAsia="Tahoma" w:hAnsi="Tahoma" w:cs="Tahoma"/>
          <w:b/>
          <w:bCs/>
        </w:rPr>
      </w:pPr>
      <w:r w:rsidRPr="00707D8A">
        <w:rPr>
          <w:rFonts w:ascii="Tahoma" w:eastAsia="Tahoma" w:hAnsi="Tahoma" w:cs="Tahoma"/>
          <w:b/>
          <w:bCs/>
        </w:rPr>
        <w:t xml:space="preserve">Projeto de Lei nº </w:t>
      </w:r>
      <w:r w:rsidR="006931B4">
        <w:rPr>
          <w:rFonts w:ascii="Tahoma" w:eastAsia="Tahoma" w:hAnsi="Tahoma" w:cs="Tahoma"/>
          <w:b/>
          <w:bCs/>
        </w:rPr>
        <w:t>00192</w:t>
      </w:r>
      <w:r w:rsidRPr="00707D8A">
        <w:rPr>
          <w:rFonts w:ascii="Tahoma" w:eastAsia="Tahoma" w:hAnsi="Tahoma" w:cs="Tahoma"/>
          <w:b/>
          <w:bCs/>
        </w:rPr>
        <w:t>/202</w:t>
      </w:r>
      <w:r w:rsidR="008D4C6F">
        <w:rPr>
          <w:rFonts w:ascii="Tahoma" w:eastAsia="Tahoma" w:hAnsi="Tahoma" w:cs="Tahoma"/>
          <w:b/>
          <w:bCs/>
        </w:rPr>
        <w:t>6</w:t>
      </w:r>
    </w:p>
    <w:p w14:paraId="34608B99" w14:textId="77777777" w:rsidR="00B86542" w:rsidRDefault="00B86542">
      <w:pPr>
        <w:spacing w:line="360" w:lineRule="auto"/>
        <w:jc w:val="center"/>
        <w:rPr>
          <w:rFonts w:ascii="Tahoma" w:eastAsia="Tahoma" w:hAnsi="Tahoma" w:cs="Tahoma"/>
        </w:rPr>
      </w:pPr>
    </w:p>
    <w:p w14:paraId="5889AB14" w14:textId="4A40FE60" w:rsidR="00E21828" w:rsidRPr="00B228B2" w:rsidRDefault="008D4C6F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EMENDA </w:t>
      </w:r>
      <w:r w:rsidR="00FF7076">
        <w:rPr>
          <w:rFonts w:ascii="Tahoma" w:eastAsia="Tahoma" w:hAnsi="Tahoma" w:cs="Tahoma"/>
          <w:b/>
        </w:rPr>
        <w:t>ADITIVA</w:t>
      </w:r>
      <w:bookmarkStart w:id="0" w:name="_GoBack"/>
      <w:bookmarkEnd w:id="0"/>
      <w:r>
        <w:rPr>
          <w:rFonts w:ascii="Tahoma" w:eastAsia="Tahoma" w:hAnsi="Tahoma" w:cs="Tahoma"/>
          <w:b/>
        </w:rPr>
        <w:t xml:space="preserve"> AO PROJETO DE LEI Nº </w:t>
      </w:r>
      <w:r w:rsidR="006931B4">
        <w:rPr>
          <w:rFonts w:ascii="Tahoma" w:eastAsia="Tahoma" w:hAnsi="Tahoma" w:cs="Tahoma"/>
          <w:b/>
        </w:rPr>
        <w:t>192</w:t>
      </w:r>
      <w:r>
        <w:rPr>
          <w:rFonts w:ascii="Tahoma" w:eastAsia="Tahoma" w:hAnsi="Tahoma" w:cs="Tahoma"/>
          <w:b/>
        </w:rPr>
        <w:t xml:space="preserve">/2026, </w:t>
      </w:r>
      <w:r w:rsidR="006931B4">
        <w:rPr>
          <w:rFonts w:ascii="Tahoma" w:eastAsia="Tahoma" w:hAnsi="Tahoma" w:cs="Tahoma"/>
          <w:b/>
        </w:rPr>
        <w:t>SOBRE A TRANSFERÊNCIA DA COORDENAÇÃO DE TRANSPARÊNCIA MUNICIPAL PARA A CONTROLADORIA GERAL DO MUNICÍPIO E DÁ OUTRAS PROVIDÊNCIAS</w:t>
      </w:r>
    </w:p>
    <w:p w14:paraId="34750B4A" w14:textId="77777777" w:rsidR="00E21828" w:rsidRDefault="00E21828">
      <w:pPr>
        <w:ind w:left="4395"/>
        <w:jc w:val="both"/>
        <w:rPr>
          <w:rFonts w:ascii="Tahoma" w:eastAsia="Tahoma" w:hAnsi="Tahoma" w:cs="Tahoma"/>
          <w:b/>
        </w:rPr>
      </w:pPr>
    </w:p>
    <w:p w14:paraId="451F8553" w14:textId="77777777" w:rsidR="00801F28" w:rsidRDefault="00801F28" w:rsidP="00BC5B4B">
      <w:pPr>
        <w:spacing w:line="360" w:lineRule="auto"/>
        <w:jc w:val="both"/>
        <w:rPr>
          <w:rFonts w:ascii="Tahoma" w:eastAsia="Tahoma" w:hAnsi="Tahoma" w:cs="Tahoma"/>
          <w:b/>
        </w:rPr>
      </w:pPr>
    </w:p>
    <w:p w14:paraId="234C4A9E" w14:textId="77777777" w:rsidR="00E54D95" w:rsidRPr="0071545A" w:rsidRDefault="00C018B0" w:rsidP="00E54D95">
      <w:pPr>
        <w:spacing w:line="360" w:lineRule="auto"/>
        <w:jc w:val="both"/>
        <w:rPr>
          <w:rFonts w:ascii="Tahoma" w:eastAsia="Tahoma" w:hAnsi="Tahoma" w:cs="Tahoma"/>
          <w:color w:val="000000" w:themeColor="text1"/>
        </w:rPr>
      </w:pPr>
      <w:r>
        <w:rPr>
          <w:rFonts w:ascii="Tahoma" w:eastAsia="Tahoma" w:hAnsi="Tahoma" w:cs="Tahoma"/>
          <w:b/>
        </w:rPr>
        <w:t>Art. 1º</w:t>
      </w:r>
      <w:r>
        <w:rPr>
          <w:rFonts w:ascii="Tahoma" w:eastAsia="Tahoma" w:hAnsi="Tahoma" w:cs="Tahoma"/>
        </w:rPr>
        <w:t xml:space="preserve"> - </w:t>
      </w:r>
      <w:r w:rsidR="00E54D95" w:rsidRPr="00801F28">
        <w:rPr>
          <w:rFonts w:ascii="Tahoma" w:eastAsia="Tahoma" w:hAnsi="Tahoma" w:cs="Tahoma"/>
        </w:rPr>
        <w:t xml:space="preserve">Fica </w:t>
      </w:r>
      <w:r w:rsidR="00E54D95">
        <w:rPr>
          <w:rFonts w:ascii="Tahoma" w:eastAsia="Tahoma" w:hAnsi="Tahoma" w:cs="Tahoma"/>
        </w:rPr>
        <w:t>a</w:t>
      </w:r>
      <w:r w:rsidR="00E54D95" w:rsidRPr="0071545A">
        <w:rPr>
          <w:rFonts w:ascii="Tahoma" w:hAnsi="Tahoma" w:cs="Tahoma"/>
          <w:color w:val="000000" w:themeColor="text1"/>
        </w:rPr>
        <w:t xml:space="preserve">crescido o seguinte parágrafo único ao art. 21 da Lei nº 3.188, de 22 de dezembro de 2015, </w:t>
      </w:r>
      <w:r w:rsidR="00E54D95" w:rsidRPr="00801F28">
        <w:rPr>
          <w:rFonts w:ascii="Tahoma" w:hAnsi="Tahoma" w:cs="Tahoma"/>
          <w:color w:val="000000" w:themeColor="text1"/>
          <w:lang w:val="pt-PT"/>
        </w:rPr>
        <w:t>com a seguinte redação</w:t>
      </w:r>
      <w:r w:rsidR="00E54D95" w:rsidRPr="0071545A">
        <w:rPr>
          <w:rFonts w:ascii="Tahoma" w:hAnsi="Tahoma" w:cs="Tahoma"/>
          <w:color w:val="000000" w:themeColor="text1"/>
        </w:rPr>
        <w:t>:</w:t>
      </w:r>
    </w:p>
    <w:p w14:paraId="40D7590E" w14:textId="77777777" w:rsidR="00E54D95" w:rsidRPr="0071545A" w:rsidRDefault="00E54D95" w:rsidP="00E54D95">
      <w:pPr>
        <w:pStyle w:val="my-2"/>
        <w:spacing w:line="360" w:lineRule="auto"/>
        <w:ind w:left="3402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01F28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 “</w:t>
      </w:r>
      <w:r>
        <w:rPr>
          <w:rFonts w:ascii="Tahoma" w:hAnsi="Tahoma" w:cs="Tahoma"/>
          <w:color w:val="000000" w:themeColor="text1"/>
          <w:sz w:val="22"/>
          <w:szCs w:val="22"/>
          <w:lang w:val="pt-PT"/>
        </w:rPr>
        <w:t>Parágrafo único</w:t>
      </w:r>
      <w:r w:rsidRPr="00801F28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 - </w:t>
      </w:r>
      <w:r w:rsidRPr="0071545A">
        <w:rPr>
          <w:rFonts w:ascii="Tahoma" w:hAnsi="Tahoma" w:cs="Tahoma"/>
          <w:color w:val="000000" w:themeColor="text1"/>
          <w:sz w:val="22"/>
          <w:szCs w:val="22"/>
        </w:rPr>
        <w:t>As pautas, atas, deliberações, recomendações e demais atos do Conselho Municipal de Transparência e Controle Social deverão ser publicados em sítio eletrônico oficial, em formato acessível, observadas as normas de transparência ativa e proteção de dados pessoais</w:t>
      </w:r>
      <w:r w:rsidRPr="0071545A">
        <w:rPr>
          <w:rFonts w:ascii="Tahoma" w:hAnsi="Tahoma" w:cs="Tahoma"/>
          <w:color w:val="000000" w:themeColor="text1"/>
          <w:sz w:val="22"/>
          <w:szCs w:val="22"/>
          <w:lang w:val="pt-PT"/>
        </w:rPr>
        <w:t>”</w:t>
      </w:r>
    </w:p>
    <w:p w14:paraId="40F245EF" w14:textId="71C1DE62" w:rsidR="00107D1C" w:rsidRDefault="00107D1C" w:rsidP="00107D1C">
      <w:pPr>
        <w:spacing w:line="360" w:lineRule="auto"/>
        <w:jc w:val="both"/>
        <w:rPr>
          <w:rFonts w:ascii="Tahoma" w:eastAsia="Tahoma" w:hAnsi="Tahoma" w:cs="Tahoma"/>
          <w:b/>
          <w:bCs/>
        </w:rPr>
      </w:pPr>
      <w:r w:rsidRPr="00033A0E">
        <w:rPr>
          <w:rFonts w:ascii="Tahoma" w:eastAsia="Tahoma" w:hAnsi="Tahoma" w:cs="Tahoma"/>
          <w:b/>
          <w:bCs/>
        </w:rPr>
        <w:t xml:space="preserve">Art. </w:t>
      </w:r>
      <w:r w:rsidR="00E54D95">
        <w:rPr>
          <w:rFonts w:ascii="Tahoma" w:eastAsia="Tahoma" w:hAnsi="Tahoma" w:cs="Tahoma"/>
          <w:b/>
          <w:bCs/>
        </w:rPr>
        <w:t>2</w:t>
      </w:r>
      <w:r w:rsidRPr="00033A0E">
        <w:rPr>
          <w:rFonts w:ascii="Tahoma" w:eastAsia="Tahoma" w:hAnsi="Tahoma" w:cs="Tahoma"/>
          <w:b/>
          <w:bCs/>
        </w:rPr>
        <w:t xml:space="preserve">º </w:t>
      </w:r>
      <w:r w:rsidRPr="00033A0E">
        <w:rPr>
          <w:rFonts w:ascii="Tahoma" w:eastAsia="Tahoma" w:hAnsi="Tahoma" w:cs="Tahoma"/>
          <w:bCs/>
        </w:rPr>
        <w:t xml:space="preserve">- </w:t>
      </w:r>
      <w:r w:rsidRPr="00466138">
        <w:rPr>
          <w:rFonts w:ascii="Tahoma" w:eastAsia="Times New Roman" w:hAnsi="Tahoma" w:cs="Tahoma"/>
        </w:rPr>
        <w:t>Esta emenda entra em vigor na data de sua aprovação</w:t>
      </w:r>
      <w:r w:rsidRPr="008D4C6F">
        <w:rPr>
          <w:rFonts w:ascii="Tahoma" w:eastAsia="Times New Roman" w:hAnsi="Tahoma" w:cs="Tahoma"/>
        </w:rPr>
        <w:t>.</w:t>
      </w:r>
    </w:p>
    <w:p w14:paraId="0C58AD80" w14:textId="77777777" w:rsidR="00107D1C" w:rsidRDefault="00107D1C" w:rsidP="00033A0E">
      <w:pPr>
        <w:spacing w:line="360" w:lineRule="auto"/>
        <w:jc w:val="both"/>
        <w:rPr>
          <w:rFonts w:ascii="Tahoma" w:eastAsia="Tahoma" w:hAnsi="Tahoma" w:cs="Tahoma"/>
          <w:b/>
          <w:bCs/>
        </w:rPr>
      </w:pPr>
    </w:p>
    <w:p w14:paraId="357D45FF" w14:textId="77777777" w:rsidR="00E54D95" w:rsidRDefault="00E54D95" w:rsidP="00033A0E">
      <w:pPr>
        <w:spacing w:line="360" w:lineRule="auto"/>
        <w:jc w:val="both"/>
        <w:rPr>
          <w:rFonts w:ascii="Tahoma" w:eastAsia="Tahoma" w:hAnsi="Tahoma" w:cs="Tahoma"/>
          <w:b/>
          <w:bCs/>
        </w:rPr>
      </w:pPr>
    </w:p>
    <w:p w14:paraId="207380AC" w14:textId="3E36DE77" w:rsidR="00E21828" w:rsidRDefault="00C018B0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801F28">
        <w:rPr>
          <w:rFonts w:ascii="Tahoma" w:eastAsia="Tahoma" w:hAnsi="Tahoma" w:cs="Tahoma"/>
        </w:rPr>
        <w:t>12</w:t>
      </w:r>
      <w:r>
        <w:rPr>
          <w:rFonts w:ascii="Tahoma" w:eastAsia="Tahoma" w:hAnsi="Tahoma" w:cs="Tahoma"/>
        </w:rPr>
        <w:t xml:space="preserve"> de </w:t>
      </w:r>
      <w:r w:rsidR="008D4C6F">
        <w:rPr>
          <w:rFonts w:ascii="Tahoma" w:eastAsia="Tahoma" w:hAnsi="Tahoma" w:cs="Tahoma"/>
        </w:rPr>
        <w:t>maio</w:t>
      </w:r>
      <w:r>
        <w:rPr>
          <w:rFonts w:ascii="Tahoma" w:eastAsia="Tahoma" w:hAnsi="Tahoma" w:cs="Tahoma"/>
        </w:rPr>
        <w:t xml:space="preserve"> de 202</w:t>
      </w:r>
      <w:bookmarkStart w:id="1" w:name="_heading=h.2et92p0" w:colFirst="0" w:colLast="0"/>
      <w:bookmarkStart w:id="2" w:name="_heading=h.tyjcwt" w:colFirst="0" w:colLast="0"/>
      <w:bookmarkEnd w:id="1"/>
      <w:bookmarkEnd w:id="2"/>
      <w:r w:rsidR="000C7E2F">
        <w:rPr>
          <w:rFonts w:ascii="Tahoma" w:eastAsia="Tahoma" w:hAnsi="Tahoma" w:cs="Tahoma"/>
        </w:rPr>
        <w:t>6</w:t>
      </w:r>
      <w:r w:rsidR="00BD430E">
        <w:rPr>
          <w:rFonts w:ascii="Tahoma" w:eastAsia="Tahoma" w:hAnsi="Tahoma" w:cs="Tahoma"/>
        </w:rPr>
        <w:t>.</w:t>
      </w:r>
      <w:bookmarkStart w:id="3" w:name="_heading=h.47hifivivccg" w:colFirst="0" w:colLast="0"/>
      <w:bookmarkEnd w:id="3"/>
    </w:p>
    <w:p w14:paraId="0A1C0AD3" w14:textId="4342AC8C" w:rsidR="00E21828" w:rsidRDefault="00E21828">
      <w:pPr>
        <w:spacing w:line="360" w:lineRule="auto"/>
        <w:rPr>
          <w:rFonts w:ascii="Tahoma" w:eastAsia="Tahoma" w:hAnsi="Tahoma" w:cs="Tahoma"/>
        </w:rPr>
      </w:pPr>
      <w:bookmarkStart w:id="4" w:name="_heading=h.9z6259vul1qe" w:colFirst="0" w:colLast="0"/>
      <w:bookmarkEnd w:id="4"/>
    </w:p>
    <w:p w14:paraId="46C31F6C" w14:textId="77777777" w:rsidR="0071545A" w:rsidRDefault="0071545A">
      <w:pPr>
        <w:spacing w:line="360" w:lineRule="auto"/>
        <w:rPr>
          <w:rFonts w:ascii="Tahoma" w:eastAsia="Tahoma" w:hAnsi="Tahoma" w:cs="Tahoma"/>
        </w:rPr>
      </w:pPr>
    </w:p>
    <w:p w14:paraId="46994A80" w14:textId="77777777" w:rsidR="0071545A" w:rsidRDefault="0071545A">
      <w:pPr>
        <w:spacing w:line="360" w:lineRule="auto"/>
        <w:rPr>
          <w:rFonts w:ascii="Tahoma" w:eastAsia="Tahoma" w:hAnsi="Tahoma" w:cs="Tahoma"/>
        </w:rPr>
      </w:pPr>
    </w:p>
    <w:p w14:paraId="21F30CCC" w14:textId="77777777" w:rsidR="00E54D95" w:rsidRDefault="00E54D95">
      <w:pPr>
        <w:spacing w:line="360" w:lineRule="auto"/>
        <w:rPr>
          <w:rFonts w:ascii="Tahoma" w:eastAsia="Tahoma" w:hAnsi="Tahoma" w:cs="Tahoma"/>
        </w:rPr>
      </w:pPr>
    </w:p>
    <w:p w14:paraId="70D7E6F0" w14:textId="77777777" w:rsidR="00BC5B4B" w:rsidRDefault="00BC5B4B" w:rsidP="00BC5B4B">
      <w:pPr>
        <w:jc w:val="center"/>
      </w:pPr>
      <w:bookmarkStart w:id="5" w:name="_heading=h.3dy6vkm" w:colFirst="0" w:colLast="0"/>
      <w:bookmarkEnd w:id="5"/>
      <w:r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F667AE" w:rsidRDefault="00BC5B4B" w:rsidP="00BC5B4B">
      <w:pPr>
        <w:jc w:val="center"/>
        <w:rPr>
          <w:rFonts w:ascii="Tahoma" w:eastAsia="Tahoma" w:hAnsi="Tahoma" w:cs="Tahoma"/>
          <w:b/>
        </w:rPr>
      </w:pPr>
      <w:r w:rsidRPr="00F667AE">
        <w:rPr>
          <w:rFonts w:ascii="Tahoma" w:eastAsia="Tahoma" w:hAnsi="Tahoma" w:cs="Tahoma"/>
          <w:b/>
        </w:rPr>
        <w:t xml:space="preserve">Daniel Marques </w:t>
      </w:r>
    </w:p>
    <w:p w14:paraId="6F02F973" w14:textId="6A7829AA" w:rsidR="00282AD3" w:rsidRDefault="00D91385" w:rsidP="00033A0E">
      <w:pPr>
        <w:jc w:val="center"/>
        <w:rPr>
          <w:rFonts w:ascii="Tahoma" w:eastAsia="Tahoma" w:hAnsi="Tahoma" w:cs="Tahoma"/>
          <w:b/>
        </w:rPr>
      </w:pPr>
      <w:r w:rsidRPr="00033A0E">
        <w:rPr>
          <w:rFonts w:ascii="Tahoma" w:eastAsia="Tahoma" w:hAnsi="Tahoma" w:cs="Tahoma"/>
          <w:b/>
        </w:rPr>
        <w:t>Vereador</w:t>
      </w:r>
      <w:bookmarkStart w:id="6" w:name="_heading=h.1t3h5sf" w:colFirst="0" w:colLast="0"/>
      <w:bookmarkStart w:id="7" w:name="_heading=h.4d34og8" w:colFirst="0" w:colLast="0"/>
      <w:bookmarkStart w:id="8" w:name="_heading=h.2s8eyo1" w:colFirst="0" w:colLast="0"/>
      <w:bookmarkStart w:id="9" w:name="_heading=h.17dp8vu" w:colFirst="0" w:colLast="0"/>
      <w:bookmarkStart w:id="10" w:name="_heading=h.3rdcrjn" w:colFirst="0" w:colLast="0"/>
      <w:bookmarkStart w:id="11" w:name="_heading=h.26in1rg" w:colFirst="0" w:colLast="0"/>
      <w:bookmarkStart w:id="12" w:name="_heading=h.lnxbz9" w:colFirst="0" w:colLast="0"/>
      <w:bookmarkStart w:id="13" w:name="_heading=h.fpqpmc9yrbki" w:colFirst="0" w:colLast="0"/>
      <w:bookmarkStart w:id="14" w:name="_heading=h.exiqbem5rh8a" w:colFirst="0" w:colLast="0"/>
      <w:bookmarkStart w:id="15" w:name="_heading=h.35nkun2" w:colFirst="0" w:colLast="0"/>
      <w:bookmarkStart w:id="16" w:name="_heading=h.1ksv4uv" w:colFirst="0" w:colLast="0"/>
      <w:bookmarkStart w:id="17" w:name="_heading=h.44sinio" w:colFirst="0" w:colLast="0"/>
      <w:bookmarkStart w:id="18" w:name="_heading=h.2jxsxqh" w:colFirst="0" w:colLast="0"/>
      <w:bookmarkStart w:id="19" w:name="_heading=h.z337ya" w:colFirst="0" w:colLast="0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043EBAB1" w14:textId="77777777" w:rsidR="00E54D95" w:rsidRDefault="00E54D95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75741B57" w14:textId="2B3F5799" w:rsidR="00EF419D" w:rsidRPr="009844FA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lastRenderedPageBreak/>
        <w:t>JUSTIFICATIVA</w:t>
      </w:r>
      <w:bookmarkStart w:id="20" w:name="_heading=h.3j2qqm3" w:colFirst="0" w:colLast="0"/>
      <w:bookmarkEnd w:id="20"/>
    </w:p>
    <w:p w14:paraId="419C6804" w14:textId="77777777" w:rsidR="006931B4" w:rsidRPr="00824405" w:rsidRDefault="006931B4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t>A presente emenda tem por finalidade aperfeiçoar o Projeto de Lei encaminhado pelo Poder Executivo que promove a transferência da Coordenação de Transparência municipal para a Controladoria Geral do Município. Embora a proposta represente avanço institucional ao vincular a transparência ao órgão central de controle interno, o texto original limita-se essencialmente à alteração de competência administrativa, sem estabelecer instrumentos concretos de monitoramento, publicidade de desempenho e transição operacional.</w:t>
      </w:r>
    </w:p>
    <w:p w14:paraId="284F2F9B" w14:textId="7D2F3F29" w:rsidR="006931B4" w:rsidRDefault="006931B4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t>A Lei Municipal nº 3.084/2014 já consagra, no âmbito do Município de Niterói, o dever de divulgação ativa de informações, a manutenção de Serviço de Informações ao Cidadão, a observância de prazos de resposta e a produção de relatórios estatísticos sobre pedidos de acesso à informação. Também atribui à autoridade de monitoramento e ao Poder Executivo funções de avaliação, acompanhamento, consolidação de estatísticas e aperfeiçoamento das normas e procedimentos de transparência. Por isso, a mera mudança da estrutura responsável, sem a correspondente previsão de metas mínimas de publicidade e avaliação periódica, mostra-se insuficiente para garantir melhoria efetiva na entrega da transparência ao cidadão.</w:t>
      </w:r>
      <w:r w:rsidR="001C2FF1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 </w:t>
      </w:r>
    </w:p>
    <w:p w14:paraId="56AE70EE" w14:textId="5286C86A" w:rsidR="001C2FF1" w:rsidRDefault="001C2FF1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Além </w:t>
      </w:r>
      <w:r w:rsidRPr="001C2FF1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disso, </w:t>
      </w:r>
      <w:r>
        <w:rPr>
          <w:rFonts w:ascii="Tahoma" w:hAnsi="Tahoma" w:cs="Tahoma"/>
          <w:color w:val="000000" w:themeColor="text1"/>
          <w:sz w:val="22"/>
          <w:szCs w:val="22"/>
        </w:rPr>
        <w:t>a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 xml:space="preserve"> Constituição </w:t>
      </w:r>
      <w:r>
        <w:rPr>
          <w:rFonts w:ascii="Tahoma" w:hAnsi="Tahoma" w:cs="Tahoma"/>
          <w:color w:val="000000" w:themeColor="text1"/>
          <w:sz w:val="22"/>
          <w:szCs w:val="22"/>
        </w:rPr>
        <w:t xml:space="preserve">Federal 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 xml:space="preserve">assegura o acesso às informações de interesse coletivo ou geral, e a Lei Municipal 3.084/2014 repete essa lógica ao exigir procedimentos objetivos, ágeis e linguagem clara. Se </w:t>
      </w:r>
      <w:r>
        <w:rPr>
          <w:rFonts w:ascii="Tahoma" w:hAnsi="Tahoma" w:cs="Tahoma"/>
          <w:color w:val="000000" w:themeColor="text1"/>
          <w:sz w:val="22"/>
          <w:szCs w:val="22"/>
        </w:rPr>
        <w:t>t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>a</w:t>
      </w:r>
      <w:r>
        <w:rPr>
          <w:rFonts w:ascii="Tahoma" w:hAnsi="Tahoma" w:cs="Tahoma"/>
          <w:color w:val="000000" w:themeColor="text1"/>
          <w:sz w:val="22"/>
          <w:szCs w:val="22"/>
        </w:rPr>
        <w:t>l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 xml:space="preserve"> mudança criar barreiras práticas, atraso ou concentração excessiva de poder sobre os dados, pode haver violação indireta desse direito</w:t>
      </w:r>
      <w:r>
        <w:rPr>
          <w:rFonts w:ascii="Tahoma" w:hAnsi="Tahoma" w:cs="Tahoma"/>
          <w:color w:val="000000" w:themeColor="text1"/>
          <w:sz w:val="22"/>
          <w:szCs w:val="22"/>
        </w:rPr>
        <w:t>.</w:t>
      </w:r>
    </w:p>
    <w:p w14:paraId="0A007D0B" w14:textId="778F7EDF" w:rsidR="0071545A" w:rsidRPr="0071545A" w:rsidRDefault="0071545A" w:rsidP="0071545A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color w:val="000000" w:themeColor="text1"/>
        </w:rPr>
      </w:pPr>
      <w:r>
        <w:rPr>
          <w:rFonts w:ascii="Tahoma" w:eastAsia="Times New Roman" w:hAnsi="Tahoma" w:cs="Tahoma"/>
          <w:color w:val="000000" w:themeColor="text1"/>
        </w:rPr>
        <w:t xml:space="preserve">No tocante à criação do </w:t>
      </w:r>
      <w:r w:rsidRPr="0071545A">
        <w:rPr>
          <w:rFonts w:ascii="Tahoma" w:hAnsi="Tahoma" w:cs="Tahoma"/>
          <w:i/>
          <w:iCs/>
        </w:rPr>
        <w:t>Conselho Municipal de Transparência e Controle Social</w:t>
      </w:r>
      <w:r>
        <w:rPr>
          <w:rFonts w:ascii="Tahoma" w:hAnsi="Tahoma" w:cs="Tahoma"/>
          <w:i/>
          <w:iCs/>
        </w:rPr>
        <w:t xml:space="preserve">, </w:t>
      </w:r>
      <w:r w:rsidRPr="00815582">
        <w:rPr>
          <w:rFonts w:ascii="Tahoma" w:hAnsi="Tahoma" w:cs="Tahoma"/>
          <w:iCs/>
        </w:rPr>
        <w:t>a</w:t>
      </w:r>
      <w:r>
        <w:rPr>
          <w:rFonts w:ascii="Tahoma" w:eastAsia="Times New Roman" w:hAnsi="Tahoma" w:cs="Tahoma"/>
          <w:color w:val="000000" w:themeColor="text1"/>
        </w:rPr>
        <w:t xml:space="preserve"> </w:t>
      </w:r>
      <w:r w:rsidRPr="0071545A">
        <w:rPr>
          <w:rFonts w:ascii="Tahoma" w:eastAsia="Times New Roman" w:hAnsi="Tahoma" w:cs="Tahoma"/>
          <w:color w:val="000000" w:themeColor="text1"/>
        </w:rPr>
        <w:t>ausência de salvaguarda expressa quanto à autonomia de pauta, deliberação, manifestação e publicidade dos atos do Conselho pode enfraquecer a função de controle social do colegiado, reduzindo sua capacidade de fiscalizar, recomendar providências e dar visibilidade a falhas estruturais da política municipal de transparência. </w:t>
      </w:r>
    </w:p>
    <w:p w14:paraId="14F171DE" w14:textId="758CBDD6" w:rsidR="00546565" w:rsidRPr="0071545A" w:rsidRDefault="00546565" w:rsidP="00546565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color w:val="000000" w:themeColor="text1"/>
        </w:rPr>
      </w:pPr>
      <w:r w:rsidRPr="0071545A">
        <w:rPr>
          <w:rFonts w:ascii="Tahoma" w:eastAsia="Times New Roman" w:hAnsi="Tahoma" w:cs="Tahoma"/>
          <w:color w:val="000000" w:themeColor="text1"/>
        </w:rPr>
        <w:lastRenderedPageBreak/>
        <w:t>A emenda estabelece o dever de publicação das pautas, atas, deliberações e recomendações do Conselho em sítio eletrônico oficial, medida coerente com os princípios da publicidade, moralidade e eficiência administrativa, além de plenamente alinhada com a lógica da transparência ativa já p</w:t>
      </w:r>
      <w:r>
        <w:rPr>
          <w:rFonts w:ascii="Tahoma" w:eastAsia="Times New Roman" w:hAnsi="Tahoma" w:cs="Tahoma"/>
          <w:color w:val="000000" w:themeColor="text1"/>
        </w:rPr>
        <w:t>revista na legislação municipal,</w:t>
      </w:r>
      <w:r w:rsidRPr="0071545A">
        <w:rPr>
          <w:rFonts w:ascii="Tahoma" w:eastAsia="Times New Roman" w:hAnsi="Tahoma" w:cs="Tahoma"/>
          <w:color w:val="000000" w:themeColor="text1"/>
        </w:rPr>
        <w:t xml:space="preserve"> amplia</w:t>
      </w:r>
      <w:r>
        <w:rPr>
          <w:rFonts w:ascii="Tahoma" w:eastAsia="Times New Roman" w:hAnsi="Tahoma" w:cs="Tahoma"/>
          <w:color w:val="000000" w:themeColor="text1"/>
        </w:rPr>
        <w:t>ndo assim o controle social e</w:t>
      </w:r>
      <w:r w:rsidRPr="0071545A">
        <w:rPr>
          <w:rFonts w:ascii="Tahoma" w:eastAsia="Times New Roman" w:hAnsi="Tahoma" w:cs="Tahoma"/>
          <w:color w:val="000000" w:themeColor="text1"/>
        </w:rPr>
        <w:t xml:space="preserve"> a fiscalização parlamentar</w:t>
      </w:r>
      <w:r>
        <w:rPr>
          <w:rFonts w:ascii="Tahoma" w:eastAsia="Times New Roman" w:hAnsi="Tahoma" w:cs="Tahoma"/>
          <w:color w:val="000000" w:themeColor="text1"/>
        </w:rPr>
        <w:t>.</w:t>
      </w:r>
    </w:p>
    <w:p w14:paraId="665C1C6F" w14:textId="77777777" w:rsidR="006931B4" w:rsidRPr="00824405" w:rsidRDefault="006931B4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t>Diante do exposto, a aprovação da presente emenda contribuirá para que a reorganização proposta pelo Executivo não se limite à mudança de órgão competente, mas resulte em efetivo fortalecimento da política municipal de transparência, com maior mensuração de resultados, publicidade ativa e controle social.</w:t>
      </w:r>
    </w:p>
    <w:p w14:paraId="636A5DA2" w14:textId="77777777" w:rsidR="006931B4" w:rsidRPr="009A7D00" w:rsidRDefault="006931B4" w:rsidP="006931B4">
      <w:pPr>
        <w:rPr>
          <w:rFonts w:ascii="Tahoma" w:hAnsi="Tahoma" w:cs="Tahoma"/>
          <w:color w:val="BFBFBF" w:themeColor="background1" w:themeShade="BF"/>
          <w:sz w:val="24"/>
          <w:szCs w:val="24"/>
        </w:rPr>
      </w:pPr>
    </w:p>
    <w:p w14:paraId="719B949F" w14:textId="77777777" w:rsidR="006931B4" w:rsidRDefault="006931B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</w:p>
    <w:p w14:paraId="78A18228" w14:textId="77777777" w:rsidR="006931B4" w:rsidRDefault="006931B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</w:p>
    <w:p w14:paraId="44D21EE0" w14:textId="77777777" w:rsidR="0071545A" w:rsidRDefault="0071545A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</w:p>
    <w:p w14:paraId="69825771" w14:textId="77777777" w:rsidR="0071545A" w:rsidRDefault="0071545A" w:rsidP="00546565">
      <w:pPr>
        <w:spacing w:before="171" w:after="171" w:line="360" w:lineRule="auto"/>
        <w:jc w:val="both"/>
        <w:rPr>
          <w:rFonts w:ascii="Tahoma" w:eastAsia="Tahoma" w:hAnsi="Tahoma" w:cs="Tahoma"/>
          <w:color w:val="00000A"/>
        </w:rPr>
      </w:pPr>
    </w:p>
    <w:sectPr w:rsidR="0071545A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4AAAA" w14:textId="77777777" w:rsidR="009C2A3D" w:rsidRDefault="009C2A3D">
      <w:pPr>
        <w:spacing w:line="240" w:lineRule="auto"/>
      </w:pPr>
      <w:r>
        <w:separator/>
      </w:r>
    </w:p>
  </w:endnote>
  <w:endnote w:type="continuationSeparator" w:id="0">
    <w:p w14:paraId="42E12E7B" w14:textId="77777777" w:rsidR="009C2A3D" w:rsidRDefault="009C2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54E8D" w14:textId="617FFB9B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 xml:space="preserve">Av. Amaral Peixoto, 625 / Gabinete: 30 – Centro – Niterói – RJ – </w:t>
    </w:r>
    <w:proofErr w:type="gramStart"/>
    <w:r w:rsidR="00C018B0">
      <w:rPr>
        <w:rFonts w:ascii="Tahoma" w:eastAsia="Tahoma" w:hAnsi="Tahoma" w:cs="Tahoma"/>
        <w:b/>
        <w:i/>
        <w:color w:val="00000A"/>
        <w:sz w:val="16"/>
        <w:szCs w:val="16"/>
      </w:rPr>
      <w:t>CEP.:</w:t>
    </w:r>
    <w:proofErr w:type="gramEnd"/>
    <w:r w:rsidR="00C018B0">
      <w:rPr>
        <w:rFonts w:ascii="Tahoma" w:eastAsia="Tahoma" w:hAnsi="Tahoma" w:cs="Tahoma"/>
        <w:b/>
        <w:i/>
        <w:color w:val="00000A"/>
        <w:sz w:val="16"/>
        <w:szCs w:val="16"/>
      </w:rPr>
      <w:t xml:space="preserve">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 w:rsidR="008D4C6F">
      <w:rPr>
        <w:rFonts w:ascii="Tahoma" w:eastAsia="Tahoma" w:hAnsi="Tahoma" w:cs="Tahoma"/>
        <w:b/>
        <w:color w:val="00000A"/>
        <w:sz w:val="16"/>
        <w:szCs w:val="16"/>
      </w:rPr>
      <w:t>MVM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75BDAC" w14:textId="77777777" w:rsidR="009C2A3D" w:rsidRDefault="009C2A3D">
      <w:pPr>
        <w:spacing w:line="240" w:lineRule="auto"/>
      </w:pPr>
      <w:r>
        <w:separator/>
      </w:r>
    </w:p>
  </w:footnote>
  <w:footnote w:type="continuationSeparator" w:id="0">
    <w:p w14:paraId="1DC82A43" w14:textId="77777777" w:rsidR="009C2A3D" w:rsidRDefault="009C2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F1068"/>
    <w:multiLevelType w:val="multilevel"/>
    <w:tmpl w:val="20C6A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7CB9"/>
    <w:rsid w:val="00097A2F"/>
    <w:rsid w:val="000C0625"/>
    <w:rsid w:val="000C1F21"/>
    <w:rsid w:val="000C7E2F"/>
    <w:rsid w:val="000D3570"/>
    <w:rsid w:val="000E40CC"/>
    <w:rsid w:val="000F56C7"/>
    <w:rsid w:val="00107D1C"/>
    <w:rsid w:val="001207EC"/>
    <w:rsid w:val="00122050"/>
    <w:rsid w:val="00145FC7"/>
    <w:rsid w:val="0015467D"/>
    <w:rsid w:val="001A5D5C"/>
    <w:rsid w:val="001B3689"/>
    <w:rsid w:val="001B61B9"/>
    <w:rsid w:val="001C2FF1"/>
    <w:rsid w:val="001D3D75"/>
    <w:rsid w:val="001E0ED9"/>
    <w:rsid w:val="001E28BD"/>
    <w:rsid w:val="001E558F"/>
    <w:rsid w:val="00260963"/>
    <w:rsid w:val="00282AD3"/>
    <w:rsid w:val="00284C5A"/>
    <w:rsid w:val="002A1345"/>
    <w:rsid w:val="002D38B3"/>
    <w:rsid w:val="002F3FD5"/>
    <w:rsid w:val="00303D7D"/>
    <w:rsid w:val="00362075"/>
    <w:rsid w:val="0037781E"/>
    <w:rsid w:val="003C0D54"/>
    <w:rsid w:val="00413D42"/>
    <w:rsid w:val="00445ED8"/>
    <w:rsid w:val="004709CB"/>
    <w:rsid w:val="004D73E0"/>
    <w:rsid w:val="00501173"/>
    <w:rsid w:val="00546565"/>
    <w:rsid w:val="00551762"/>
    <w:rsid w:val="0058354A"/>
    <w:rsid w:val="00590A3A"/>
    <w:rsid w:val="005C389D"/>
    <w:rsid w:val="005D6805"/>
    <w:rsid w:val="005F0ECD"/>
    <w:rsid w:val="006677C5"/>
    <w:rsid w:val="006931B4"/>
    <w:rsid w:val="006A5F84"/>
    <w:rsid w:val="006A79FB"/>
    <w:rsid w:val="006C309F"/>
    <w:rsid w:val="006F0992"/>
    <w:rsid w:val="006F7639"/>
    <w:rsid w:val="00707D8A"/>
    <w:rsid w:val="0071545A"/>
    <w:rsid w:val="007477FA"/>
    <w:rsid w:val="00747A90"/>
    <w:rsid w:val="00757ADA"/>
    <w:rsid w:val="007A74C2"/>
    <w:rsid w:val="007E0938"/>
    <w:rsid w:val="007F216E"/>
    <w:rsid w:val="00801F28"/>
    <w:rsid w:val="00802696"/>
    <w:rsid w:val="008141CF"/>
    <w:rsid w:val="00815582"/>
    <w:rsid w:val="00817035"/>
    <w:rsid w:val="00824405"/>
    <w:rsid w:val="00835249"/>
    <w:rsid w:val="008429C9"/>
    <w:rsid w:val="0089255C"/>
    <w:rsid w:val="00897A76"/>
    <w:rsid w:val="008A103C"/>
    <w:rsid w:val="008C3416"/>
    <w:rsid w:val="008D4C6F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C2A3D"/>
    <w:rsid w:val="009E79FB"/>
    <w:rsid w:val="009F0B51"/>
    <w:rsid w:val="00A041E3"/>
    <w:rsid w:val="00A24184"/>
    <w:rsid w:val="00A25F55"/>
    <w:rsid w:val="00A4110B"/>
    <w:rsid w:val="00A4421E"/>
    <w:rsid w:val="00A47255"/>
    <w:rsid w:val="00AC7E20"/>
    <w:rsid w:val="00AD7138"/>
    <w:rsid w:val="00B21C97"/>
    <w:rsid w:val="00B228B2"/>
    <w:rsid w:val="00B32D99"/>
    <w:rsid w:val="00B4433A"/>
    <w:rsid w:val="00B44C71"/>
    <w:rsid w:val="00B533F7"/>
    <w:rsid w:val="00B6013C"/>
    <w:rsid w:val="00B63AB3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F18B1"/>
    <w:rsid w:val="00CF2619"/>
    <w:rsid w:val="00D04C34"/>
    <w:rsid w:val="00D91385"/>
    <w:rsid w:val="00D92AD0"/>
    <w:rsid w:val="00D97B4A"/>
    <w:rsid w:val="00DD1E78"/>
    <w:rsid w:val="00DF3FEF"/>
    <w:rsid w:val="00E04972"/>
    <w:rsid w:val="00E21828"/>
    <w:rsid w:val="00E31F53"/>
    <w:rsid w:val="00E4099F"/>
    <w:rsid w:val="00E54D95"/>
    <w:rsid w:val="00E84A7B"/>
    <w:rsid w:val="00EA7DF3"/>
    <w:rsid w:val="00EB5BCE"/>
    <w:rsid w:val="00ED5DC2"/>
    <w:rsid w:val="00EF419D"/>
    <w:rsid w:val="00F01889"/>
    <w:rsid w:val="00F22745"/>
    <w:rsid w:val="00F60804"/>
    <w:rsid w:val="00F65472"/>
    <w:rsid w:val="00F73269"/>
    <w:rsid w:val="00FA7B2C"/>
    <w:rsid w:val="00FD2120"/>
    <w:rsid w:val="00FF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5C4C2D7B-2454-4E2C-819D-A94DD6F8B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82AD3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3">
    <w:name w:val="3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  <w:style w:type="paragraph" w:customStyle="1" w:styleId="my-2">
    <w:name w:val="my-2"/>
    <w:basedOn w:val="Normal"/>
    <w:rsid w:val="00693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31B4"/>
    <w:rPr>
      <w:b/>
      <w:bCs/>
    </w:rPr>
  </w:style>
  <w:style w:type="character" w:customStyle="1" w:styleId="whitespace-nowrap">
    <w:name w:val="whitespace-nowrap"/>
    <w:basedOn w:val="Fontepargpadro"/>
    <w:rsid w:val="0071545A"/>
  </w:style>
  <w:style w:type="character" w:customStyle="1" w:styleId="inline-flex">
    <w:name w:val="inline-flex"/>
    <w:basedOn w:val="Fontepargpadro"/>
    <w:rsid w:val="00715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747323">
          <w:blockQuote w:val="1"/>
          <w:marLeft w:val="0"/>
          <w:marRight w:val="0"/>
          <w:marTop w:val="384"/>
          <w:marBottom w:val="384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91348269">
          <w:blockQuote w:val="1"/>
          <w:marLeft w:val="0"/>
          <w:marRight w:val="0"/>
          <w:marTop w:val="384"/>
          <w:marBottom w:val="384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92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551</Words>
  <Characters>2977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Daniel Marques</dc:creator>
  <cp:keywords/>
  <dc:description/>
  <cp:lastModifiedBy>SAMSUNG</cp:lastModifiedBy>
  <cp:revision>4</cp:revision>
  <cp:lastPrinted>2026-05-05T16:11:00Z</cp:lastPrinted>
  <dcterms:created xsi:type="dcterms:W3CDTF">2026-05-12T17:01:00Z</dcterms:created>
  <dcterms:modified xsi:type="dcterms:W3CDTF">2026-05-12T19:13:00Z</dcterms:modified>
</cp:coreProperties>
</file>