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3BB01" w14:textId="6D22EB8F" w:rsidR="00E21828" w:rsidRDefault="00C018B0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1A6A20">
        <w:rPr>
          <w:rFonts w:ascii="Tahoma" w:eastAsia="Tahoma" w:hAnsi="Tahoma" w:cs="Tahoma"/>
          <w:b/>
        </w:rPr>
        <w:t>ADITIVA</w:t>
      </w:r>
      <w:bookmarkStart w:id="0" w:name="_GoBack"/>
      <w:bookmarkEnd w:id="0"/>
      <w:r w:rsidR="001E28BD">
        <w:rPr>
          <w:rFonts w:ascii="Tahoma" w:eastAsia="Tahoma" w:hAnsi="Tahoma" w:cs="Tahoma"/>
          <w:b/>
        </w:rPr>
        <w:t xml:space="preserve"> Nº</w:t>
      </w:r>
      <w:r>
        <w:rPr>
          <w:rFonts w:ascii="Tahoma" w:eastAsia="Tahoma" w:hAnsi="Tahoma" w:cs="Tahoma"/>
          <w:b/>
        </w:rPr>
        <w:t xml:space="preserve">    /202</w:t>
      </w:r>
      <w:r w:rsidR="00E84A7B">
        <w:rPr>
          <w:rFonts w:ascii="Tahoma" w:eastAsia="Tahoma" w:hAnsi="Tahoma" w:cs="Tahoma"/>
          <w:b/>
        </w:rPr>
        <w:t>6</w:t>
      </w:r>
    </w:p>
    <w:p w14:paraId="3859B55C" w14:textId="6CDF51F1" w:rsidR="00E21828" w:rsidRDefault="00E21828">
      <w:pPr>
        <w:spacing w:line="240" w:lineRule="auto"/>
        <w:jc w:val="center"/>
        <w:rPr>
          <w:rFonts w:ascii="Tahoma" w:eastAsia="Tahoma" w:hAnsi="Tahoma" w:cs="Tahoma"/>
        </w:rPr>
      </w:pPr>
    </w:p>
    <w:p w14:paraId="648F5366" w14:textId="1E175886" w:rsidR="00E21828" w:rsidRPr="00707D8A" w:rsidRDefault="00C018B0">
      <w:pPr>
        <w:spacing w:line="240" w:lineRule="auto"/>
        <w:jc w:val="center"/>
        <w:rPr>
          <w:rFonts w:ascii="Tahoma" w:eastAsia="Tahoma" w:hAnsi="Tahoma" w:cs="Tahoma"/>
          <w:b/>
          <w:bCs/>
        </w:rPr>
      </w:pPr>
      <w:r w:rsidRPr="00707D8A">
        <w:rPr>
          <w:rFonts w:ascii="Tahoma" w:eastAsia="Tahoma" w:hAnsi="Tahoma" w:cs="Tahoma"/>
          <w:b/>
          <w:bCs/>
        </w:rPr>
        <w:t xml:space="preserve">Projeto de Lei nº </w:t>
      </w:r>
      <w:r w:rsidR="006931B4">
        <w:rPr>
          <w:rFonts w:ascii="Tahoma" w:eastAsia="Tahoma" w:hAnsi="Tahoma" w:cs="Tahoma"/>
          <w:b/>
          <w:bCs/>
        </w:rPr>
        <w:t>00192</w:t>
      </w:r>
      <w:r w:rsidRPr="00707D8A">
        <w:rPr>
          <w:rFonts w:ascii="Tahoma" w:eastAsia="Tahoma" w:hAnsi="Tahoma" w:cs="Tahoma"/>
          <w:b/>
          <w:bCs/>
        </w:rPr>
        <w:t>/202</w:t>
      </w:r>
      <w:r w:rsidR="008D4C6F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Default="00B86542">
      <w:pPr>
        <w:spacing w:line="360" w:lineRule="auto"/>
        <w:jc w:val="center"/>
        <w:rPr>
          <w:rFonts w:ascii="Tahoma" w:eastAsia="Tahoma" w:hAnsi="Tahoma" w:cs="Tahoma"/>
        </w:rPr>
      </w:pPr>
    </w:p>
    <w:p w14:paraId="5889AB14" w14:textId="2A815852" w:rsidR="00E21828" w:rsidRPr="00B228B2" w:rsidRDefault="008D4C6F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B65530">
        <w:rPr>
          <w:rFonts w:ascii="Tahoma" w:eastAsia="Tahoma" w:hAnsi="Tahoma" w:cs="Tahoma"/>
          <w:b/>
        </w:rPr>
        <w:t>ADITIVA</w:t>
      </w:r>
      <w:r>
        <w:rPr>
          <w:rFonts w:ascii="Tahoma" w:eastAsia="Tahoma" w:hAnsi="Tahoma" w:cs="Tahoma"/>
          <w:b/>
        </w:rPr>
        <w:t xml:space="preserve"> AO PROJETO DE LEI Nº </w:t>
      </w:r>
      <w:r w:rsidR="006931B4">
        <w:rPr>
          <w:rFonts w:ascii="Tahoma" w:eastAsia="Tahoma" w:hAnsi="Tahoma" w:cs="Tahoma"/>
          <w:b/>
        </w:rPr>
        <w:t>192</w:t>
      </w:r>
      <w:r>
        <w:rPr>
          <w:rFonts w:ascii="Tahoma" w:eastAsia="Tahoma" w:hAnsi="Tahoma" w:cs="Tahoma"/>
          <w:b/>
        </w:rPr>
        <w:t xml:space="preserve">/2026, </w:t>
      </w:r>
      <w:r w:rsidR="006931B4">
        <w:rPr>
          <w:rFonts w:ascii="Tahoma" w:eastAsia="Tahoma" w:hAnsi="Tahoma" w:cs="Tahoma"/>
          <w:b/>
        </w:rPr>
        <w:t>SOBRE A TRANSFERÊNCIA DA COORDENAÇÃO DE TRANSPARÊNCIA MUNICIPAL PARA A CONTROLADORIA GERAL DO MUNICÍPIO E DÁ OUTRAS PROVIDÊNCIAS</w:t>
      </w:r>
    </w:p>
    <w:p w14:paraId="34750B4A" w14:textId="77777777" w:rsidR="00E21828" w:rsidRDefault="00E21828">
      <w:pPr>
        <w:ind w:left="4395"/>
        <w:jc w:val="both"/>
        <w:rPr>
          <w:rFonts w:ascii="Tahoma" w:eastAsia="Tahoma" w:hAnsi="Tahoma" w:cs="Tahoma"/>
          <w:b/>
        </w:rPr>
      </w:pPr>
    </w:p>
    <w:p w14:paraId="451F8553" w14:textId="77777777" w:rsidR="00801F28" w:rsidRDefault="00801F28" w:rsidP="00BC5B4B">
      <w:pPr>
        <w:spacing w:line="360" w:lineRule="auto"/>
        <w:jc w:val="both"/>
        <w:rPr>
          <w:rFonts w:ascii="Tahoma" w:eastAsia="Tahoma" w:hAnsi="Tahoma" w:cs="Tahoma"/>
          <w:b/>
        </w:rPr>
      </w:pPr>
    </w:p>
    <w:p w14:paraId="5AC0FB90" w14:textId="26F607E7" w:rsidR="00BC5B4B" w:rsidRPr="006931B4" w:rsidRDefault="00C018B0" w:rsidP="00BC5B4B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 1º</w:t>
      </w:r>
      <w:r>
        <w:rPr>
          <w:rFonts w:ascii="Tahoma" w:eastAsia="Tahoma" w:hAnsi="Tahoma" w:cs="Tahoma"/>
        </w:rPr>
        <w:t xml:space="preserve"> - </w:t>
      </w:r>
      <w:r w:rsidR="002412EA" w:rsidRPr="00801F28">
        <w:rPr>
          <w:rFonts w:ascii="Tahoma" w:eastAsia="Tahoma" w:hAnsi="Tahoma" w:cs="Tahoma"/>
        </w:rPr>
        <w:t xml:space="preserve">Fica acrescido o seguinte </w:t>
      </w:r>
      <w:r w:rsidR="002412EA" w:rsidRPr="00801F28">
        <w:rPr>
          <w:rFonts w:ascii="Tahoma" w:hAnsi="Tahoma" w:cs="Tahoma"/>
          <w:color w:val="000000" w:themeColor="text1"/>
          <w:lang w:val="pt-PT"/>
        </w:rPr>
        <w:t>artigo ao Projeto de Lei, com a seguinte redação</w:t>
      </w:r>
      <w:r w:rsidR="002412EA">
        <w:rPr>
          <w:rFonts w:ascii="Tahoma" w:hAnsi="Tahoma" w:cs="Tahoma"/>
          <w:color w:val="000000" w:themeColor="text1"/>
          <w:lang w:val="pt-PT"/>
        </w:rPr>
        <w:t>:</w:t>
      </w:r>
    </w:p>
    <w:p w14:paraId="1F4EA22E" w14:textId="77777777" w:rsidR="002412EA" w:rsidRPr="00801F28" w:rsidRDefault="002412EA" w:rsidP="002412EA">
      <w:pPr>
        <w:pStyle w:val="my-2"/>
        <w:spacing w:line="360" w:lineRule="auto"/>
        <w:ind w:left="3402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“Art. </w:t>
      </w:r>
      <w:r>
        <w:rPr>
          <w:rFonts w:ascii="Tahoma" w:hAnsi="Tahoma" w:cs="Tahoma"/>
          <w:color w:val="000000" w:themeColor="text1"/>
          <w:sz w:val="22"/>
          <w:szCs w:val="22"/>
          <w:lang w:val="pt-PT"/>
        </w:rPr>
        <w:t>3º</w:t>
      </w:r>
      <w:r w:rsidRP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 - A transferência da Coordenação de Transparência para a Controladoria Geral do Município deverá ser acompanhada da formalização, no prazo máximo de 60 (sessenta) dias, dos fluxos administrativos, sistemas, acervos documentais, procedimentos operacionais e responsabilidades setoriais necessárias à continuidade e ao aprimoramento da política municipal de transparência.”</w:t>
      </w:r>
    </w:p>
    <w:p w14:paraId="40F245EF" w14:textId="5BF697A4" w:rsidR="00107D1C" w:rsidRDefault="00107D1C" w:rsidP="00107D1C">
      <w:pPr>
        <w:spacing w:line="360" w:lineRule="auto"/>
        <w:jc w:val="both"/>
        <w:rPr>
          <w:rFonts w:ascii="Tahoma" w:eastAsia="Tahoma" w:hAnsi="Tahoma" w:cs="Tahoma"/>
          <w:b/>
          <w:bCs/>
        </w:rPr>
      </w:pPr>
      <w:r w:rsidRPr="00033A0E">
        <w:rPr>
          <w:rFonts w:ascii="Tahoma" w:eastAsia="Tahoma" w:hAnsi="Tahoma" w:cs="Tahoma"/>
          <w:b/>
          <w:bCs/>
        </w:rPr>
        <w:t xml:space="preserve">Art. </w:t>
      </w:r>
      <w:r w:rsidR="002412EA">
        <w:rPr>
          <w:rFonts w:ascii="Tahoma" w:eastAsia="Tahoma" w:hAnsi="Tahoma" w:cs="Tahoma"/>
          <w:b/>
          <w:bCs/>
        </w:rPr>
        <w:t>2</w:t>
      </w:r>
      <w:r w:rsidRPr="00033A0E">
        <w:rPr>
          <w:rFonts w:ascii="Tahoma" w:eastAsia="Tahoma" w:hAnsi="Tahoma" w:cs="Tahoma"/>
          <w:b/>
          <w:bCs/>
        </w:rPr>
        <w:t xml:space="preserve">º </w:t>
      </w:r>
      <w:r w:rsidRPr="00033A0E">
        <w:rPr>
          <w:rFonts w:ascii="Tahoma" w:eastAsia="Tahoma" w:hAnsi="Tahoma" w:cs="Tahoma"/>
          <w:bCs/>
        </w:rPr>
        <w:t xml:space="preserve">- </w:t>
      </w:r>
      <w:r w:rsidRPr="00466138">
        <w:rPr>
          <w:rFonts w:ascii="Tahoma" w:eastAsia="Times New Roman" w:hAnsi="Tahoma" w:cs="Tahoma"/>
        </w:rPr>
        <w:t>Esta emenda entra em vigor na data de sua aprovação</w:t>
      </w:r>
      <w:r w:rsidRPr="008D4C6F">
        <w:rPr>
          <w:rFonts w:ascii="Tahoma" w:eastAsia="Times New Roman" w:hAnsi="Tahoma" w:cs="Tahoma"/>
        </w:rPr>
        <w:t>.</w:t>
      </w:r>
    </w:p>
    <w:p w14:paraId="0C58AD80" w14:textId="77777777" w:rsidR="00107D1C" w:rsidRDefault="00107D1C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38620DAB" w14:textId="77777777" w:rsidR="00571F0C" w:rsidRDefault="00571F0C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207380AC" w14:textId="3E36DE77" w:rsidR="00E2182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801F28">
        <w:rPr>
          <w:rFonts w:ascii="Tahoma" w:eastAsia="Tahoma" w:hAnsi="Tahoma" w:cs="Tahoma"/>
        </w:rPr>
        <w:t>12</w:t>
      </w:r>
      <w:r>
        <w:rPr>
          <w:rFonts w:ascii="Tahoma" w:eastAsia="Tahoma" w:hAnsi="Tahoma" w:cs="Tahoma"/>
        </w:rPr>
        <w:t xml:space="preserve"> de </w:t>
      </w:r>
      <w:r w:rsidR="008D4C6F">
        <w:rPr>
          <w:rFonts w:ascii="Tahoma" w:eastAsia="Tahoma" w:hAnsi="Tahoma" w:cs="Tahoma"/>
        </w:rPr>
        <w:t>maio</w:t>
      </w:r>
      <w:r>
        <w:rPr>
          <w:rFonts w:ascii="Tahoma" w:eastAsia="Tahoma" w:hAnsi="Tahoma" w:cs="Tahoma"/>
        </w:rPr>
        <w:t xml:space="preserve"> de 202</w:t>
      </w:r>
      <w:bookmarkStart w:id="1" w:name="_heading=h.2et92p0" w:colFirst="0" w:colLast="0"/>
      <w:bookmarkStart w:id="2" w:name="_heading=h.tyjcwt" w:colFirst="0" w:colLast="0"/>
      <w:bookmarkEnd w:id="1"/>
      <w:bookmarkEnd w:id="2"/>
      <w:r w:rsidR="000C7E2F">
        <w:rPr>
          <w:rFonts w:ascii="Tahoma" w:eastAsia="Tahoma" w:hAnsi="Tahoma" w:cs="Tahoma"/>
        </w:rPr>
        <w:t>6</w:t>
      </w:r>
      <w:r w:rsidR="00BD430E">
        <w:rPr>
          <w:rFonts w:ascii="Tahoma" w:eastAsia="Tahoma" w:hAnsi="Tahoma" w:cs="Tahoma"/>
        </w:rPr>
        <w:t>.</w:t>
      </w:r>
      <w:bookmarkStart w:id="3" w:name="_heading=h.47hifivivccg" w:colFirst="0" w:colLast="0"/>
      <w:bookmarkEnd w:id="3"/>
    </w:p>
    <w:p w14:paraId="0A1C0AD3" w14:textId="4342AC8C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4" w:name="_heading=h.9z6259vul1qe" w:colFirst="0" w:colLast="0"/>
      <w:bookmarkEnd w:id="4"/>
    </w:p>
    <w:p w14:paraId="46C31F6C" w14:textId="77777777" w:rsidR="0071545A" w:rsidRDefault="0071545A">
      <w:pPr>
        <w:spacing w:line="360" w:lineRule="auto"/>
        <w:rPr>
          <w:rFonts w:ascii="Tahoma" w:eastAsia="Tahoma" w:hAnsi="Tahoma" w:cs="Tahoma"/>
        </w:rPr>
      </w:pPr>
    </w:p>
    <w:p w14:paraId="46994A80" w14:textId="77777777" w:rsidR="0071545A" w:rsidRDefault="0071545A">
      <w:pPr>
        <w:spacing w:line="360" w:lineRule="auto"/>
        <w:rPr>
          <w:rFonts w:ascii="Tahoma" w:eastAsia="Tahoma" w:hAnsi="Tahoma" w:cs="Tahoma"/>
        </w:rPr>
      </w:pPr>
    </w:p>
    <w:p w14:paraId="019E916A" w14:textId="77777777" w:rsidR="00571F0C" w:rsidRDefault="00571F0C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Default="00BC5B4B" w:rsidP="00BC5B4B">
      <w:pPr>
        <w:jc w:val="center"/>
      </w:pPr>
      <w:bookmarkStart w:id="5" w:name="_heading=h.3dy6vkm" w:colFirst="0" w:colLast="0"/>
      <w:bookmarkEnd w:id="5"/>
      <w:r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F667AE" w:rsidRDefault="00BC5B4B" w:rsidP="00BC5B4B">
      <w:pPr>
        <w:jc w:val="center"/>
        <w:rPr>
          <w:rFonts w:ascii="Tahoma" w:eastAsia="Tahoma" w:hAnsi="Tahoma" w:cs="Tahoma"/>
          <w:b/>
        </w:rPr>
      </w:pPr>
      <w:r w:rsidRPr="00F667AE">
        <w:rPr>
          <w:rFonts w:ascii="Tahoma" w:eastAsia="Tahoma" w:hAnsi="Tahoma" w:cs="Tahoma"/>
          <w:b/>
        </w:rPr>
        <w:t xml:space="preserve">Daniel Marques </w:t>
      </w:r>
    </w:p>
    <w:p w14:paraId="6F02F973" w14:textId="6A7829AA" w:rsidR="00282AD3" w:rsidRDefault="00D91385" w:rsidP="00033A0E">
      <w:pPr>
        <w:jc w:val="center"/>
        <w:rPr>
          <w:rFonts w:ascii="Tahoma" w:eastAsia="Tahoma" w:hAnsi="Tahoma" w:cs="Tahoma"/>
          <w:b/>
        </w:rPr>
      </w:pPr>
      <w:r w:rsidRPr="00033A0E">
        <w:rPr>
          <w:rFonts w:ascii="Tahoma" w:eastAsia="Tahoma" w:hAnsi="Tahoma" w:cs="Tahoma"/>
          <w:b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75741B57" w14:textId="2B3F5799" w:rsidR="00EF419D" w:rsidRPr="009844FA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</w:t>
      </w:r>
      <w:bookmarkStart w:id="20" w:name="_heading=h.3j2qqm3" w:colFirst="0" w:colLast="0"/>
      <w:bookmarkEnd w:id="20"/>
    </w:p>
    <w:p w14:paraId="419C6804" w14:textId="77777777" w:rsidR="006931B4" w:rsidRPr="00824405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A presente emenda tem por finalidade aperfeiçoar o Projeto de Lei encaminhado pelo Poder Executivo que promove a transferência da Coordenação de Transparência municipal para a Controladoria Geral do Município. Embora a proposta represente avanço institucional ao vincular a transparência ao órgão central de controle interno, o texto original limita-se essencialmente à alteração de competência administrativa, sem estabelecer instrumentos concretos de monitoramento, publicidade de desempenho e transição operacional.</w:t>
      </w:r>
    </w:p>
    <w:p w14:paraId="284F2F9B" w14:textId="7D2F3F29" w:rsidR="006931B4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A Lei Municipal nº 3.084/2014 já consagra, no âmbito do Município de Niterói, o dever de divulgação ativa de informações, a manutenção de Serviço de Informações ao Cidadão, a observância de prazos de resposta e a produção de relatórios estatísticos sobre pedidos de acesso à informação. Também atribui à autoridade de monitoramento e ao Poder Executivo funções de avaliação, acompanhamento, consolidação de estatísticas e aperfeiçoamento das normas e procedimentos de transparência. Por isso, a mera mudança da estrutura responsável, sem a correspondente previsão de metas mínimas de publicidade e avaliação periódica, mostra-se insuficiente para garantir melhoria efetiva na entrega da transparência ao cidadão.</w:t>
      </w:r>
      <w:r w:rsidR="001C2FF1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 </w:t>
      </w:r>
    </w:p>
    <w:p w14:paraId="56AE70EE" w14:textId="5286C86A" w:rsidR="001C2FF1" w:rsidRDefault="001C2FF1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Além </w:t>
      </w:r>
      <w:r w:rsidRPr="001C2FF1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disso, </w:t>
      </w:r>
      <w:r>
        <w:rPr>
          <w:rFonts w:ascii="Tahoma" w:hAnsi="Tahoma" w:cs="Tahoma"/>
          <w:color w:val="000000" w:themeColor="text1"/>
          <w:sz w:val="22"/>
          <w:szCs w:val="22"/>
        </w:rPr>
        <w:t>a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 Constituição </w:t>
      </w:r>
      <w:r>
        <w:rPr>
          <w:rFonts w:ascii="Tahoma" w:hAnsi="Tahoma" w:cs="Tahoma"/>
          <w:color w:val="000000" w:themeColor="text1"/>
          <w:sz w:val="22"/>
          <w:szCs w:val="22"/>
        </w:rPr>
        <w:t xml:space="preserve">Federal 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assegura o acesso às informações de interesse coletivo ou geral, e a Lei Municipal 3.084/2014 repete essa lógica ao exigir procedimentos objetivos, ágeis e linguagem clara. Se </w:t>
      </w:r>
      <w:r>
        <w:rPr>
          <w:rFonts w:ascii="Tahoma" w:hAnsi="Tahoma" w:cs="Tahoma"/>
          <w:color w:val="000000" w:themeColor="text1"/>
          <w:sz w:val="22"/>
          <w:szCs w:val="22"/>
        </w:rPr>
        <w:t>t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>a</w:t>
      </w:r>
      <w:r>
        <w:rPr>
          <w:rFonts w:ascii="Tahoma" w:hAnsi="Tahoma" w:cs="Tahoma"/>
          <w:color w:val="000000" w:themeColor="text1"/>
          <w:sz w:val="22"/>
          <w:szCs w:val="22"/>
        </w:rPr>
        <w:t>l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 mudança criar barreiras práticas, atraso ou concentração excessiva de poder sobre os dados, pode haver violação indireta desse direito</w:t>
      </w:r>
      <w:r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0A007D0B" w14:textId="778F7EDF" w:rsidR="0071545A" w:rsidRPr="0071545A" w:rsidRDefault="0071545A" w:rsidP="0071545A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color w:val="000000" w:themeColor="text1"/>
        </w:rPr>
      </w:pPr>
      <w:r>
        <w:rPr>
          <w:rFonts w:ascii="Tahoma" w:eastAsia="Times New Roman" w:hAnsi="Tahoma" w:cs="Tahoma"/>
          <w:color w:val="000000" w:themeColor="text1"/>
        </w:rPr>
        <w:t xml:space="preserve">No tocante à criação do </w:t>
      </w:r>
      <w:r w:rsidRPr="0071545A">
        <w:rPr>
          <w:rFonts w:ascii="Tahoma" w:hAnsi="Tahoma" w:cs="Tahoma"/>
          <w:i/>
          <w:iCs/>
        </w:rPr>
        <w:t>Conselho Municipal de Transparência e Controle Social</w:t>
      </w:r>
      <w:r>
        <w:rPr>
          <w:rFonts w:ascii="Tahoma" w:hAnsi="Tahoma" w:cs="Tahoma"/>
          <w:i/>
          <w:iCs/>
        </w:rPr>
        <w:t xml:space="preserve">, </w:t>
      </w:r>
      <w:r w:rsidRPr="00815582">
        <w:rPr>
          <w:rFonts w:ascii="Tahoma" w:hAnsi="Tahoma" w:cs="Tahoma"/>
          <w:iCs/>
        </w:rPr>
        <w:t>a</w:t>
      </w:r>
      <w:r>
        <w:rPr>
          <w:rFonts w:ascii="Tahoma" w:eastAsia="Times New Roman" w:hAnsi="Tahoma" w:cs="Tahoma"/>
          <w:color w:val="000000" w:themeColor="text1"/>
        </w:rPr>
        <w:t xml:space="preserve"> </w:t>
      </w:r>
      <w:r w:rsidRPr="0071545A">
        <w:rPr>
          <w:rFonts w:ascii="Tahoma" w:eastAsia="Times New Roman" w:hAnsi="Tahoma" w:cs="Tahoma"/>
          <w:color w:val="000000" w:themeColor="text1"/>
        </w:rPr>
        <w:t>ausência de salvaguarda expressa quanto à autonomia de pauta, deliberação, manifestação e publicidade dos atos do Conselho pode enfraquecer a função de controle social do colegiado, reduzindo sua capacidade de fiscalizar, recomendar providências e dar visibilidade a falhas estruturais da política municipal de transparência. </w:t>
      </w:r>
    </w:p>
    <w:p w14:paraId="7BDCF2D0" w14:textId="0DE9E062" w:rsidR="006931B4" w:rsidRPr="00824405" w:rsidRDefault="009C7121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9C7121">
        <w:rPr>
          <w:rFonts w:ascii="Tahoma" w:hAnsi="Tahoma" w:cs="Tahoma"/>
          <w:color w:val="000000" w:themeColor="text1"/>
          <w:sz w:val="22"/>
          <w:szCs w:val="22"/>
        </w:rPr>
        <w:lastRenderedPageBreak/>
        <w:t>A emenda propõe</w:t>
      </w:r>
      <w:r>
        <w:rPr>
          <w:rFonts w:ascii="Tahoma" w:hAnsi="Tahoma" w:cs="Tahoma"/>
          <w:color w:val="000000" w:themeColor="text1"/>
        </w:rPr>
        <w:t xml:space="preserve"> </w:t>
      </w:r>
      <w:r w:rsidR="006931B4"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a previsão de prazo para formalização dos fluxos, sistemas, acervos e responsabilidades busca evitar que a transferência de competência ocorra apenas no plano formal, sem segurança administrativa, continuidade dos serviços e definição clara das obrigações de cada unidade. Trata-se, portanto, de medida de aprimoramento técnico-legislativo compatível com o objetivo declarado pelo próprio Executivo de fortalecer a integridade, a transparência e o controle social da gestão pública municipal.</w:t>
      </w:r>
    </w:p>
    <w:p w14:paraId="665C1C6F" w14:textId="77777777" w:rsidR="006931B4" w:rsidRPr="00824405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Diante do exposto, a aprovação da presente emenda contribuirá para que a reorganização proposta pelo Executivo não se limite à mudança de órgão competente, mas resulte em efetivo fortalecimento da política municipal de transparência, com maior mensuração de resultados, publicidade ativa e controle social.</w:t>
      </w:r>
    </w:p>
    <w:p w14:paraId="636A5DA2" w14:textId="77777777" w:rsidR="006931B4" w:rsidRPr="009A7D00" w:rsidRDefault="006931B4" w:rsidP="006931B4">
      <w:pPr>
        <w:rPr>
          <w:rFonts w:ascii="Tahoma" w:hAnsi="Tahoma" w:cs="Tahoma"/>
          <w:color w:val="BFBFBF" w:themeColor="background1" w:themeShade="BF"/>
          <w:sz w:val="24"/>
          <w:szCs w:val="24"/>
        </w:rPr>
      </w:pPr>
    </w:p>
    <w:p w14:paraId="719B949F" w14:textId="77777777" w:rsidR="006931B4" w:rsidRDefault="006931B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78A18228" w14:textId="77777777" w:rsidR="006931B4" w:rsidRDefault="006931B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44D21EE0" w14:textId="77777777" w:rsidR="0071545A" w:rsidRDefault="0071545A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69825771" w14:textId="77777777" w:rsidR="0071545A" w:rsidRDefault="0071545A" w:rsidP="00546565">
      <w:pPr>
        <w:spacing w:before="171" w:after="171" w:line="360" w:lineRule="auto"/>
        <w:jc w:val="both"/>
        <w:rPr>
          <w:rFonts w:ascii="Tahoma" w:eastAsia="Tahoma" w:hAnsi="Tahoma" w:cs="Tahoma"/>
          <w:color w:val="00000A"/>
        </w:rPr>
      </w:pPr>
    </w:p>
    <w:sectPr w:rsidR="0071545A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6CFF63" w14:textId="77777777" w:rsidR="00B639B5" w:rsidRDefault="00B639B5">
      <w:pPr>
        <w:spacing w:line="240" w:lineRule="auto"/>
      </w:pPr>
      <w:r>
        <w:separator/>
      </w:r>
    </w:p>
  </w:endnote>
  <w:endnote w:type="continuationSeparator" w:id="0">
    <w:p w14:paraId="1467CD64" w14:textId="77777777" w:rsidR="00B639B5" w:rsidRDefault="00B639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54E8D" w14:textId="617FFB9B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 xml:space="preserve">Av. Amaral Peixoto, 625 / Gabinete: 30 – Centro – Niterói – RJ – </w:t>
    </w:r>
    <w:proofErr w:type="gramStart"/>
    <w:r w:rsidR="00C018B0">
      <w:rPr>
        <w:rFonts w:ascii="Tahoma" w:eastAsia="Tahoma" w:hAnsi="Tahoma" w:cs="Tahoma"/>
        <w:b/>
        <w:i/>
        <w:color w:val="00000A"/>
        <w:sz w:val="16"/>
        <w:szCs w:val="16"/>
      </w:rPr>
      <w:t>CEP.:</w:t>
    </w:r>
    <w:proofErr w:type="gramEnd"/>
    <w:r w:rsidR="00C018B0">
      <w:rPr>
        <w:rFonts w:ascii="Tahoma" w:eastAsia="Tahoma" w:hAnsi="Tahoma" w:cs="Tahoma"/>
        <w:b/>
        <w:i/>
        <w:color w:val="00000A"/>
        <w:sz w:val="16"/>
        <w:szCs w:val="16"/>
      </w:rPr>
      <w:t xml:space="preserve">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 w:rsidR="008D4C6F">
      <w:rPr>
        <w:rFonts w:ascii="Tahoma" w:eastAsia="Tahoma" w:hAnsi="Tahoma" w:cs="Tahoma"/>
        <w:b/>
        <w:color w:val="00000A"/>
        <w:sz w:val="16"/>
        <w:szCs w:val="16"/>
      </w:rPr>
      <w:t>MVM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C4C0B7" w14:textId="77777777" w:rsidR="00B639B5" w:rsidRDefault="00B639B5">
      <w:pPr>
        <w:spacing w:line="240" w:lineRule="auto"/>
      </w:pPr>
      <w:r>
        <w:separator/>
      </w:r>
    </w:p>
  </w:footnote>
  <w:footnote w:type="continuationSeparator" w:id="0">
    <w:p w14:paraId="2C094F9D" w14:textId="77777777" w:rsidR="00B639B5" w:rsidRDefault="00B639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F1068"/>
    <w:multiLevelType w:val="multilevel"/>
    <w:tmpl w:val="20C6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7CB9"/>
    <w:rsid w:val="00097A2F"/>
    <w:rsid w:val="000C0625"/>
    <w:rsid w:val="000C1F21"/>
    <w:rsid w:val="000C7E2F"/>
    <w:rsid w:val="000D3570"/>
    <w:rsid w:val="000E40CC"/>
    <w:rsid w:val="000F56C7"/>
    <w:rsid w:val="00107D1C"/>
    <w:rsid w:val="001207EC"/>
    <w:rsid w:val="00122050"/>
    <w:rsid w:val="0015467D"/>
    <w:rsid w:val="00167593"/>
    <w:rsid w:val="001A5D5C"/>
    <w:rsid w:val="001A6A20"/>
    <w:rsid w:val="001B3689"/>
    <w:rsid w:val="001B61B9"/>
    <w:rsid w:val="001C2FF1"/>
    <w:rsid w:val="001D3D75"/>
    <w:rsid w:val="001E0ED9"/>
    <w:rsid w:val="001E28BD"/>
    <w:rsid w:val="001E558F"/>
    <w:rsid w:val="002412EA"/>
    <w:rsid w:val="00260963"/>
    <w:rsid w:val="00282AD3"/>
    <w:rsid w:val="00284C5A"/>
    <w:rsid w:val="002A1345"/>
    <w:rsid w:val="002A6C83"/>
    <w:rsid w:val="002D38B3"/>
    <w:rsid w:val="002F3FD5"/>
    <w:rsid w:val="00303D7D"/>
    <w:rsid w:val="00362075"/>
    <w:rsid w:val="0037781E"/>
    <w:rsid w:val="003C0D54"/>
    <w:rsid w:val="00413D42"/>
    <w:rsid w:val="00445ED8"/>
    <w:rsid w:val="004709CB"/>
    <w:rsid w:val="004D73E0"/>
    <w:rsid w:val="00546565"/>
    <w:rsid w:val="00551762"/>
    <w:rsid w:val="00571F0C"/>
    <w:rsid w:val="0058354A"/>
    <w:rsid w:val="00590A3A"/>
    <w:rsid w:val="005C389D"/>
    <w:rsid w:val="005D6805"/>
    <w:rsid w:val="005F0ECD"/>
    <w:rsid w:val="006677C5"/>
    <w:rsid w:val="006931B4"/>
    <w:rsid w:val="006A5F84"/>
    <w:rsid w:val="006A79FB"/>
    <w:rsid w:val="006C309F"/>
    <w:rsid w:val="006F0992"/>
    <w:rsid w:val="006F7639"/>
    <w:rsid w:val="00707D8A"/>
    <w:rsid w:val="0071545A"/>
    <w:rsid w:val="007477FA"/>
    <w:rsid w:val="00747A90"/>
    <w:rsid w:val="00757ADA"/>
    <w:rsid w:val="007A74C2"/>
    <w:rsid w:val="007E0938"/>
    <w:rsid w:val="007F216E"/>
    <w:rsid w:val="00801F28"/>
    <w:rsid w:val="00802696"/>
    <w:rsid w:val="008141CF"/>
    <w:rsid w:val="00815582"/>
    <w:rsid w:val="00817035"/>
    <w:rsid w:val="00824405"/>
    <w:rsid w:val="00835249"/>
    <w:rsid w:val="008429C9"/>
    <w:rsid w:val="0089255C"/>
    <w:rsid w:val="00897A76"/>
    <w:rsid w:val="008A103C"/>
    <w:rsid w:val="008C3416"/>
    <w:rsid w:val="008D4C6F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B1E22"/>
    <w:rsid w:val="009C7121"/>
    <w:rsid w:val="009E79FB"/>
    <w:rsid w:val="009F0B51"/>
    <w:rsid w:val="00A041E3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44C71"/>
    <w:rsid w:val="00B533F7"/>
    <w:rsid w:val="00B6013C"/>
    <w:rsid w:val="00B639B5"/>
    <w:rsid w:val="00B63AB3"/>
    <w:rsid w:val="00B65530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18B1"/>
    <w:rsid w:val="00CF2619"/>
    <w:rsid w:val="00D04C34"/>
    <w:rsid w:val="00D36E6F"/>
    <w:rsid w:val="00D91385"/>
    <w:rsid w:val="00D97B4A"/>
    <w:rsid w:val="00DD1E78"/>
    <w:rsid w:val="00DF3FEF"/>
    <w:rsid w:val="00E04972"/>
    <w:rsid w:val="00E21828"/>
    <w:rsid w:val="00E31F53"/>
    <w:rsid w:val="00E4099F"/>
    <w:rsid w:val="00E84A7B"/>
    <w:rsid w:val="00EA7DF3"/>
    <w:rsid w:val="00EB5BCE"/>
    <w:rsid w:val="00ED5DC2"/>
    <w:rsid w:val="00EF419D"/>
    <w:rsid w:val="00F01889"/>
    <w:rsid w:val="00F22745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5C4C2D7B-2454-4E2C-819D-A94DD6F8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3">
    <w:name w:val="3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paragraph" w:customStyle="1" w:styleId="my-2">
    <w:name w:val="my-2"/>
    <w:basedOn w:val="Normal"/>
    <w:rsid w:val="00693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31B4"/>
    <w:rPr>
      <w:b/>
      <w:bCs/>
    </w:rPr>
  </w:style>
  <w:style w:type="character" w:customStyle="1" w:styleId="whitespace-nowrap">
    <w:name w:val="whitespace-nowrap"/>
    <w:basedOn w:val="Fontepargpadro"/>
    <w:rsid w:val="0071545A"/>
  </w:style>
  <w:style w:type="character" w:customStyle="1" w:styleId="inline-flex">
    <w:name w:val="inline-flex"/>
    <w:basedOn w:val="Fontepargpadro"/>
    <w:rsid w:val="00715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7323">
          <w:blockQuote w:val="1"/>
          <w:marLeft w:val="0"/>
          <w:marRight w:val="0"/>
          <w:marTop w:val="384"/>
          <w:marBottom w:val="384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1348269">
          <w:blockQuote w:val="1"/>
          <w:marLeft w:val="0"/>
          <w:marRight w:val="0"/>
          <w:marTop w:val="384"/>
          <w:marBottom w:val="384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92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Daniel Marques</dc:creator>
  <cp:keywords/>
  <dc:description/>
  <cp:lastModifiedBy>SAMSUNG</cp:lastModifiedBy>
  <cp:revision>5</cp:revision>
  <cp:lastPrinted>2026-05-12T17:09:00Z</cp:lastPrinted>
  <dcterms:created xsi:type="dcterms:W3CDTF">2026-05-12T16:58:00Z</dcterms:created>
  <dcterms:modified xsi:type="dcterms:W3CDTF">2026-05-12T17:09:00Z</dcterms:modified>
</cp:coreProperties>
</file>