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A61" w:rsidRDefault="005D0A6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:rsidR="005D0A61" w:rsidRDefault="00B86434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___/2026</w:t>
      </w:r>
    </w:p>
    <w:p w:rsidR="005D0A61" w:rsidRDefault="005D0A61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:rsidR="005D0A61" w:rsidRDefault="005D0A61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  <w:bookmarkStart w:id="0" w:name="_heading=h.4u8d7i8imap0" w:colFirst="0" w:colLast="0"/>
      <w:bookmarkEnd w:id="0"/>
    </w:p>
    <w:p w:rsidR="005D0A61" w:rsidRDefault="00B86434" w:rsidP="00E465B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AL</w:t>
      </w:r>
      <w:r>
        <w:rPr>
          <w:b/>
          <w:bCs/>
        </w:rPr>
        <w:t>TERA A LEI MUNICIPAL Nº 2.624, DE 29 DE DEZEMBRO DE 2008 (CÓDIGO DE POSTURAS DO MUNICÍPIO DE NITERÓI), PARA DISPOR SOBRE O FUNCIONAMENTO, LICENCIAMENTO E FISCALIZAÇÕES DE ESTABELECIMENTOS QUE EXERÇAM ATIVIDADES COM SUCATAS, CABOS, FIOS METÁLICOS E MATERIAI</w:t>
      </w:r>
      <w:r>
        <w:rPr>
          <w:b/>
          <w:bCs/>
        </w:rPr>
        <w:t xml:space="preserve">S CONGÊNERES, E DÁ OUTRAS PROVIDÊNCIAS.                                                               </w:t>
      </w:r>
    </w:p>
    <w:p w:rsidR="00E465B4" w:rsidRDefault="00E465B4" w:rsidP="00E465B4">
      <w:pPr>
        <w:spacing w:after="200" w:line="276" w:lineRule="auto"/>
        <w:jc w:val="both"/>
        <w:rPr>
          <w:b/>
          <w:bCs/>
          <w:smallCaps/>
        </w:rPr>
      </w:pPr>
    </w:p>
    <w:p w:rsidR="005D0A61" w:rsidRDefault="00B86434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>
        <w:rPr>
          <w:color w:val="222222"/>
        </w:rPr>
        <w:t>A CÂMARA MUNICIPAL DE NITERÓI decreta:</w:t>
      </w:r>
    </w:p>
    <w:p w:rsidR="00E465B4" w:rsidRDefault="00E465B4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5D0A61" w:rsidRDefault="005D0A61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1º</w:t>
      </w:r>
      <w:r>
        <w:rPr>
          <w:color w:val="222222"/>
        </w:rPr>
        <w:t xml:space="preserve"> Ficam acrescidos os </w:t>
      </w:r>
      <w:proofErr w:type="spellStart"/>
      <w:r>
        <w:rPr>
          <w:color w:val="222222"/>
        </w:rPr>
        <w:t>arts</w:t>
      </w:r>
      <w:proofErr w:type="spellEnd"/>
      <w:r>
        <w:rPr>
          <w:color w:val="222222"/>
        </w:rPr>
        <w:t>. 382-A, 382-B, 382-C, 382-D e 382-E à Lei Municipal nº 2.624, de 29 de dezembro de 2008 (Código de Posturas do Município de Niterói), no Capítulo III do Título XIII, sem alteração da sistemática vigente, com a seguinte redação: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 xml:space="preserve">Art. 382-A. </w:t>
      </w:r>
      <w:r>
        <w:rPr>
          <w:color w:val="222222"/>
        </w:rPr>
        <w:t>Os estabelecimentos que exerçam, no Município de Niterói, atividades de compra, venda, recebimento, armazenamento, reciclagem, compactação, beneficiamento ou comercialização de sucatas, cabos, fios metálicos e materiais congêneres deverão obser</w:t>
      </w:r>
      <w:r>
        <w:rPr>
          <w:color w:val="222222"/>
        </w:rPr>
        <w:t xml:space="preserve">var, para fins de licenciamento, funcionamento e manutenção do alvará, a legislação federal e estadual aplicável, especialmente a Lei Estadual nº 9.169, de </w:t>
      </w:r>
      <w:proofErr w:type="gramStart"/>
      <w:r>
        <w:rPr>
          <w:color w:val="222222"/>
        </w:rPr>
        <w:t>6</w:t>
      </w:r>
      <w:proofErr w:type="gramEnd"/>
      <w:r>
        <w:rPr>
          <w:color w:val="222222"/>
        </w:rPr>
        <w:t xml:space="preserve"> de janeiro de 2021, a Lei Estadual nº 11.154, de 8 de abril de 2026, e sua regulamentação.</w:t>
      </w:r>
    </w:p>
    <w:p w:rsidR="00E465B4" w:rsidRDefault="00E465B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3</w:t>
      </w:r>
      <w:r>
        <w:rPr>
          <w:b/>
          <w:bCs/>
          <w:color w:val="222222"/>
        </w:rPr>
        <w:t>82-B</w:t>
      </w:r>
      <w:r>
        <w:rPr>
          <w:color w:val="222222"/>
        </w:rPr>
        <w:t>. Os estabelecimentos referidos no art. 382-A deverão manter, em local acessível à fiscalização municipal, os documentos exigidos pela legislação aplicável e aqueles aptos a demonstrar, quando cabível, a origem lícita dos materiais objeto de suas ativi</w:t>
      </w:r>
      <w:r>
        <w:rPr>
          <w:color w:val="222222"/>
        </w:rPr>
        <w:t>dades.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lastRenderedPageBreak/>
        <w:t>Parágrafo único. O disposto no caput não afasta o cumprimento de obrigações previstas na legislação federal e estadual, inclusive quanto a cadastros, registros, comunicações e controles.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E465B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382-C.</w:t>
      </w:r>
      <w:r w:rsidR="00B86434">
        <w:rPr>
          <w:color w:val="222222"/>
        </w:rPr>
        <w:t xml:space="preserve"> Constitui infração administrativa grave, para </w:t>
      </w:r>
      <w:r w:rsidR="00B86434">
        <w:rPr>
          <w:color w:val="222222"/>
        </w:rPr>
        <w:t>fins de licenciamento e manutenção do alvará de funcionamento, a constatação, por meio de auto, laudo, termo, comunicação formal de autoridade competente ou outro documento idôneo, de que o estabelecimento adquiriu, recebeu, manteve em depósito, armazenou,</w:t>
      </w:r>
      <w:r w:rsidR="00B86434">
        <w:rPr>
          <w:color w:val="222222"/>
        </w:rPr>
        <w:t xml:space="preserve"> expôs ou comercializou material com indícios relevantes de origem ilícita, observado o devido processo legal administrativo.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 xml:space="preserve">§ 1º Nos casos que envolvam cabos, fios metálicos e materiais pertencentes ou vinculados a concessionárias de serviços públicos, </w:t>
      </w:r>
      <w:r>
        <w:rPr>
          <w:color w:val="222222"/>
        </w:rPr>
        <w:t>poderão ser considerados, para fins de instauração do procedimento administrativo, os elementos formais previstos na legislação estadual pertinente.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>§ 2º A caracterização da infração administrativa independe da aplicação de sanções nas esferas penal, civi</w:t>
      </w:r>
      <w:r>
        <w:rPr>
          <w:color w:val="222222"/>
        </w:rPr>
        <w:t>l ou administrativa por outros entes.</w:t>
      </w:r>
    </w:p>
    <w:p w:rsidR="00E465B4" w:rsidRDefault="00E465B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 xml:space="preserve">Art. 382-D. </w:t>
      </w:r>
      <w:r>
        <w:rPr>
          <w:color w:val="222222"/>
        </w:rPr>
        <w:t>Verificada a hipótese do art. 382-C, poderá o Município, observada a gravidade da conduta e assegurados o contraditório e a ampla defesa: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>I – Aplicar as penalidades previstas neste Código;</w:t>
      </w: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 xml:space="preserve">II – Suspender </w:t>
      </w:r>
      <w:r>
        <w:rPr>
          <w:color w:val="222222"/>
        </w:rPr>
        <w:t>o alvará de funcionamento;</w:t>
      </w: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>III – Interditar cautelarmente o estabelecimento, quando houver risco à ordem urbana, à segurança pública ou à continuidade de serviços públicos essenciais;</w:t>
      </w: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t>IV – Cassar o alvará, nos casos de reincidência ou de comprovada gravida</w:t>
      </w:r>
      <w:r>
        <w:rPr>
          <w:color w:val="222222"/>
        </w:rPr>
        <w:t>de da infração.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color w:val="222222"/>
        </w:rPr>
        <w:lastRenderedPageBreak/>
        <w:t>Parágrafo único. As medidas previstas neste artigo poderão ser adotadas sem prejuízo da comunicação às autoridades competentes.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382-E.</w:t>
      </w:r>
      <w:r>
        <w:rPr>
          <w:color w:val="222222"/>
        </w:rPr>
        <w:t xml:space="preserve"> O disposto nos </w:t>
      </w:r>
      <w:proofErr w:type="spellStart"/>
      <w:r>
        <w:rPr>
          <w:color w:val="222222"/>
        </w:rPr>
        <w:t>arts</w:t>
      </w:r>
      <w:proofErr w:type="spellEnd"/>
      <w:r>
        <w:rPr>
          <w:color w:val="222222"/>
        </w:rPr>
        <w:t>. 382-</w:t>
      </w:r>
      <w:proofErr w:type="gramStart"/>
      <w:r>
        <w:rPr>
          <w:color w:val="222222"/>
        </w:rPr>
        <w:t>A a</w:t>
      </w:r>
      <w:proofErr w:type="gramEnd"/>
      <w:r>
        <w:rPr>
          <w:color w:val="222222"/>
        </w:rPr>
        <w:t xml:space="preserve"> 382-D aplica-se aos estabelecimentos regularmente licenciados, aos que funcionem sem alvará e àqueles que exerçam, ainda que de forma acessória, as atividades previstas no art. 382-A.”.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2º</w:t>
      </w:r>
      <w:r>
        <w:rPr>
          <w:color w:val="222222"/>
        </w:rPr>
        <w:t xml:space="preserve"> Esta Lei possui caráter supleme</w:t>
      </w:r>
      <w:r>
        <w:rPr>
          <w:color w:val="222222"/>
        </w:rPr>
        <w:t>ntar à legislação federal e estadual aplicável, não afastando a incidência das demais normas de regência.</w:t>
      </w:r>
    </w:p>
    <w:p w:rsidR="005D0A61" w:rsidRDefault="005D0A61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1"/>
        <w:jc w:val="both"/>
        <w:rPr>
          <w:color w:val="222222"/>
        </w:rPr>
      </w:pPr>
      <w:r>
        <w:rPr>
          <w:b/>
          <w:bCs/>
          <w:color w:val="222222"/>
        </w:rPr>
        <w:t>Art. 3º</w:t>
      </w:r>
      <w:r>
        <w:rPr>
          <w:color w:val="222222"/>
        </w:rPr>
        <w:t xml:space="preserve"> Esta Lei entra em vigor na data de sua publicação.</w:t>
      </w:r>
    </w:p>
    <w:p w:rsidR="005D0A61" w:rsidRDefault="005D0A61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5D0A61" w:rsidRDefault="005D0A61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5D0A61" w:rsidRDefault="005D0A61">
      <w:pPr>
        <w:tabs>
          <w:tab w:val="left" w:pos="6394"/>
        </w:tabs>
        <w:spacing w:line="360" w:lineRule="auto"/>
        <w:ind w:firstLine="850"/>
        <w:jc w:val="both"/>
      </w:pPr>
    </w:p>
    <w:p w:rsidR="005D0A61" w:rsidRDefault="00B86434">
      <w:pPr>
        <w:tabs>
          <w:tab w:val="left" w:pos="6394"/>
        </w:tabs>
        <w:spacing w:line="360" w:lineRule="auto"/>
        <w:ind w:firstLine="850"/>
        <w:jc w:val="right"/>
      </w:pPr>
      <w:r>
        <w:t>Niterói, 16 de abril de 2026.</w:t>
      </w:r>
    </w:p>
    <w:p w:rsidR="005D0A61" w:rsidRDefault="005D0A61">
      <w:pPr>
        <w:tabs>
          <w:tab w:val="left" w:pos="6394"/>
        </w:tabs>
        <w:spacing w:line="360" w:lineRule="auto"/>
        <w:ind w:firstLine="850"/>
        <w:jc w:val="both"/>
      </w:pPr>
    </w:p>
    <w:p w:rsidR="005D0A61" w:rsidRDefault="005D0A61">
      <w:pPr>
        <w:tabs>
          <w:tab w:val="left" w:pos="6394"/>
        </w:tabs>
        <w:spacing w:line="360" w:lineRule="auto"/>
        <w:ind w:firstLine="850"/>
        <w:jc w:val="both"/>
      </w:pPr>
    </w:p>
    <w:p w:rsidR="005D0A61" w:rsidRDefault="005D0A61">
      <w:pPr>
        <w:tabs>
          <w:tab w:val="left" w:pos="6394"/>
        </w:tabs>
        <w:spacing w:line="360" w:lineRule="auto"/>
        <w:ind w:firstLine="850"/>
        <w:jc w:val="both"/>
      </w:pPr>
    </w:p>
    <w:p w:rsidR="005D0A61" w:rsidRPr="00E465B4" w:rsidRDefault="00B86434">
      <w:pPr>
        <w:tabs>
          <w:tab w:val="left" w:pos="6394"/>
        </w:tabs>
        <w:spacing w:line="360" w:lineRule="auto"/>
        <w:ind w:firstLine="850"/>
        <w:jc w:val="center"/>
        <w:rPr>
          <w:b/>
        </w:rPr>
      </w:pPr>
      <w:bookmarkStart w:id="1" w:name="_GoBack"/>
      <w:bookmarkEnd w:id="1"/>
      <w:r w:rsidRPr="00E465B4">
        <w:rPr>
          <w:b/>
        </w:rPr>
        <w:t>ALLAN PINHO LYRA</w:t>
      </w:r>
    </w:p>
    <w:p w:rsidR="005D0A61" w:rsidRPr="00E465B4" w:rsidRDefault="00B86434">
      <w:pPr>
        <w:tabs>
          <w:tab w:val="left" w:pos="6394"/>
        </w:tabs>
        <w:spacing w:line="360" w:lineRule="auto"/>
        <w:ind w:firstLine="850"/>
        <w:jc w:val="center"/>
        <w:rPr>
          <w:b/>
        </w:rPr>
      </w:pPr>
      <w:r w:rsidRPr="00E465B4">
        <w:rPr>
          <w:b/>
        </w:rPr>
        <w:t>Vereador - PL</w:t>
      </w:r>
    </w:p>
    <w:p w:rsidR="005D0A61" w:rsidRDefault="005D0A61">
      <w:pPr>
        <w:tabs>
          <w:tab w:val="left" w:pos="6394"/>
        </w:tabs>
        <w:spacing w:line="360" w:lineRule="auto"/>
        <w:jc w:val="both"/>
        <w:rPr>
          <w:b/>
          <w:bCs/>
        </w:rPr>
      </w:pPr>
    </w:p>
    <w:p w:rsidR="005D0A61" w:rsidRDefault="00B86434">
      <w:pPr>
        <w:tabs>
          <w:tab w:val="left" w:pos="6394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>JUSTIFICATIVA:</w:t>
      </w:r>
    </w:p>
    <w:p w:rsidR="005D0A61" w:rsidRDefault="005D0A61">
      <w:pPr>
        <w:tabs>
          <w:tab w:val="left" w:pos="6394"/>
        </w:tabs>
        <w:spacing w:line="276" w:lineRule="auto"/>
        <w:ind w:firstLine="850"/>
        <w:jc w:val="both"/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O presente Projeto de Lei tem por finalidade aperfeiçoar o Código de Posturas do Município de Niterói, conferindo maior efetividade ao poder de polícia administrativa municipal no controle e fiscalização de estabelecimentos que atuam na comercialização de </w:t>
      </w:r>
      <w:r>
        <w:rPr>
          <w:color w:val="222222"/>
        </w:rPr>
        <w:t>sucatas, cabos, fios metálicos e materiais congêneres.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A legislação estadual já disciplinou a matéria, especialmente por meio da Lei Estadual nº 9.169/2021 e da Lei Estadual nº 11.154/2026, que estabeleceram mecanismos de prevenção </w:t>
      </w:r>
      <w:r>
        <w:rPr>
          <w:color w:val="222222"/>
        </w:rPr>
        <w:lastRenderedPageBreak/>
        <w:t xml:space="preserve">e repressão ao furto e </w:t>
      </w:r>
      <w:r>
        <w:rPr>
          <w:color w:val="222222"/>
        </w:rPr>
        <w:t>à receptação desses materiais, com impactos diretos sobre serviços públicos essenciais, como iluminação urbana, telecomunicações e infraestrutura.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No entanto, a eficácia dessas normas depende, no plano local, da atuação do Município no âmbito do licenciam</w:t>
      </w:r>
      <w:r>
        <w:rPr>
          <w:color w:val="222222"/>
        </w:rPr>
        <w:t>ento, fiscalização e poder de polícia administrativa, matérias inseridas na competência constitucional para legislar sobre assuntos de interesse local e para suplementar a legislação federal e estadual.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A presente proposta adota técnica legislativa simple</w:t>
      </w:r>
      <w:r>
        <w:rPr>
          <w:color w:val="222222"/>
        </w:rPr>
        <w:t>s, objetiva e constitucionalmente adequada, pois: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* não cria cargos, órgãos ou estruturas administrativas;</w:t>
      </w: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* não gera despesa obrigatória;</w:t>
      </w: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* não invade competência penal ou de polícia judiciária;</w:t>
      </w: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* não estabelece obrigações novas complexas, apenas reforça</w:t>
      </w:r>
      <w:r>
        <w:rPr>
          <w:color w:val="222222"/>
        </w:rPr>
        <w:t xml:space="preserve"> a observância da legislação já vigente;</w:t>
      </w: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* limita-se a vincular o funcionamento dos estabelecimentos ao cumprimento das normas existentes e a prever consequências administrativas no âmbito do alvará.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Com isso, cria-se um mecanismo eficaz de desestímulo ec</w:t>
      </w:r>
      <w:r>
        <w:rPr>
          <w:color w:val="222222"/>
        </w:rPr>
        <w:t>onômico à receptação de materiais de origem ilícita, ao permitir que irregularidades constatadas por autoridades competentes repercutam diretamente na manutenção do alvará de funcionamento, fortalecendo a atuação fiscalizatória do Município.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Trata-se, por</w:t>
      </w:r>
      <w:r>
        <w:rPr>
          <w:color w:val="222222"/>
        </w:rPr>
        <w:t>tanto, de medida de interesse público, que contribui para a proteção da ordem urbana, a preservação dos serviços essenciais e o combate indireto à criminalidade patrimonial, sem extrapolar os limites constitucionais da atuação legislativa municipal.</w:t>
      </w:r>
    </w:p>
    <w:p w:rsidR="005D0A61" w:rsidRDefault="005D0A61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5D0A61" w:rsidRDefault="00B86434" w:rsidP="00E465B4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Diant</w:t>
      </w:r>
      <w:r>
        <w:rPr>
          <w:color w:val="222222"/>
        </w:rPr>
        <w:t>e do exposto, conto com o apoio dos Nobres Pares para a aprovação da presente proposição.</w:t>
      </w:r>
    </w:p>
    <w:p w:rsidR="005D0A61" w:rsidRDefault="005D0A61" w:rsidP="00E465B4">
      <w:pPr>
        <w:spacing w:line="360" w:lineRule="auto"/>
        <w:jc w:val="both"/>
      </w:pPr>
    </w:p>
    <w:sectPr w:rsidR="005D0A61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434" w:rsidRDefault="00B86434">
      <w:r>
        <w:separator/>
      </w:r>
    </w:p>
  </w:endnote>
  <w:endnote w:type="continuationSeparator" w:id="0">
    <w:p w:rsidR="00B86434" w:rsidRDefault="00B8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A4CD1ED-4938-49CE-B769-74FF0E7676F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54D098AB-E883-41A8-A1F5-35EC8B484C4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86040CE-0014-4972-B0FA-DBEA4C2570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EF13521-73F0-4E88-A9A0-1635CE9E40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A61" w:rsidRDefault="00B86434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5D0A61" w:rsidRDefault="00B86434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434" w:rsidRDefault="00B86434">
      <w:r>
        <w:separator/>
      </w:r>
    </w:p>
  </w:footnote>
  <w:footnote w:type="continuationSeparator" w:id="0">
    <w:p w:rsidR="00B86434" w:rsidRDefault="00B86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A61" w:rsidRDefault="00B86434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D0A61" w:rsidRDefault="00B864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:rsidR="005D0A61" w:rsidRDefault="00B864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:rsidR="005D0A61" w:rsidRDefault="005D0A6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D0A61"/>
    <w:rsid w:val="001E4E0A"/>
    <w:rsid w:val="005D0A61"/>
    <w:rsid w:val="00A07D4F"/>
    <w:rsid w:val="00B86434"/>
    <w:rsid w:val="00E4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5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5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5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62Te+giyuIyIZixT6RS4aYGZkg==">CgMxLjAyDmguNHU4ZDdpOGltYXAwOAByITExalRDbjVZX1V3WHRVWVkweGFiMk94YlJvRlcyR0tZSg==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1027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3</cp:revision>
  <cp:lastPrinted>2026-05-11T14:59:00Z</cp:lastPrinted>
  <dcterms:created xsi:type="dcterms:W3CDTF">2026-05-11T14:55:00Z</dcterms:created>
  <dcterms:modified xsi:type="dcterms:W3CDTF">2026-05-11T15:41:00Z</dcterms:modified>
</cp:coreProperties>
</file>