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337ADF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C2476">
        <w:rPr>
          <w:rFonts w:ascii="Times New Roman" w:hAnsi="Times New Roman" w:cs="Times New Roman"/>
          <w:b/>
          <w:sz w:val="24"/>
          <w:szCs w:val="24"/>
        </w:rPr>
        <w:t>DANIEL JOSÉ CALHEIROS JÚNIOR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ADC54F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C2476">
        <w:rPr>
          <w:rFonts w:ascii="Times New Roman" w:hAnsi="Times New Roman" w:cs="Times New Roman"/>
          <w:b/>
          <w:sz w:val="24"/>
          <w:szCs w:val="24"/>
        </w:rPr>
        <w:t>Daniel José Calheiros Júnior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1B4232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C2476">
        <w:rPr>
          <w:b/>
        </w:rPr>
        <w:t>Daniel José Calheiros Júnior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EDEA2-3B1C-4FCA-8041-10F46CC0E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2026-04-28T19:26:00Z</cp:lastPrinted>
  <dcterms:created xsi:type="dcterms:W3CDTF">2026-04-28T19:30:00Z</dcterms:created>
  <dcterms:modified xsi:type="dcterms:W3CDTF">2026-04-28T19:30:00Z</dcterms:modified>
</cp:coreProperties>
</file>