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098F53" w14:textId="3D01129D" w:rsidR="00CB23BA" w:rsidRDefault="00000000">
      <w:pPr>
        <w:jc w:val="right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Parecer CAESP Nº  /202</w:t>
      </w:r>
      <w:r w:rsidR="003167B3">
        <w:rPr>
          <w:rFonts w:ascii="Arial" w:eastAsia="Arial" w:hAnsi="Arial" w:cs="Arial"/>
          <w:b/>
        </w:rPr>
        <w:t>6</w:t>
      </w:r>
    </w:p>
    <w:p w14:paraId="38CC6228" w14:textId="77777777" w:rsidR="00CB23BA" w:rsidRDefault="00CB23BA">
      <w:pPr>
        <w:jc w:val="right"/>
        <w:rPr>
          <w:rFonts w:ascii="Arial" w:eastAsia="Arial" w:hAnsi="Arial" w:cs="Arial"/>
          <w:b/>
        </w:rPr>
      </w:pPr>
    </w:p>
    <w:p w14:paraId="13DE6DE1" w14:textId="77777777" w:rsidR="00CB23BA" w:rsidRDefault="00CB23BA">
      <w:pPr>
        <w:jc w:val="right"/>
        <w:rPr>
          <w:rFonts w:ascii="Arial" w:eastAsia="Arial" w:hAnsi="Arial" w:cs="Arial"/>
          <w:b/>
        </w:rPr>
      </w:pPr>
    </w:p>
    <w:p w14:paraId="5729FFF1" w14:textId="77777777" w:rsidR="00CB23BA" w:rsidRDefault="00CB23BA">
      <w:pPr>
        <w:jc w:val="right"/>
        <w:rPr>
          <w:rFonts w:ascii="Arial" w:eastAsia="Arial" w:hAnsi="Arial" w:cs="Arial"/>
          <w:b/>
        </w:rPr>
      </w:pPr>
    </w:p>
    <w:p w14:paraId="014CAB07" w14:textId="60D9DEFD" w:rsidR="00CB23BA" w:rsidRDefault="00000000">
      <w:pPr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PROJETO DE LEI Nº </w:t>
      </w:r>
      <w:r w:rsidR="00F0725C">
        <w:rPr>
          <w:rFonts w:ascii="Arial" w:eastAsia="Arial" w:hAnsi="Arial" w:cs="Arial"/>
          <w:b/>
        </w:rPr>
        <w:t>61</w:t>
      </w:r>
      <w:r>
        <w:rPr>
          <w:rFonts w:ascii="Arial" w:eastAsia="Arial" w:hAnsi="Arial" w:cs="Arial"/>
          <w:b/>
        </w:rPr>
        <w:t>/202</w:t>
      </w:r>
      <w:r w:rsidR="00F0725C">
        <w:rPr>
          <w:rFonts w:ascii="Arial" w:eastAsia="Arial" w:hAnsi="Arial" w:cs="Arial"/>
          <w:b/>
        </w:rPr>
        <w:t>6</w:t>
      </w:r>
    </w:p>
    <w:p w14:paraId="7549E349" w14:textId="77777777" w:rsidR="00CB23BA" w:rsidRDefault="00CB23BA">
      <w:pPr>
        <w:rPr>
          <w:rFonts w:ascii="Arial" w:eastAsia="Arial" w:hAnsi="Arial" w:cs="Arial"/>
          <w:b/>
        </w:rPr>
      </w:pPr>
    </w:p>
    <w:p w14:paraId="2EA16D1F" w14:textId="77777777" w:rsidR="00CB23BA" w:rsidRDefault="00CB23BA">
      <w:pPr>
        <w:jc w:val="center"/>
        <w:rPr>
          <w:rFonts w:ascii="Arial" w:eastAsia="Arial" w:hAnsi="Arial" w:cs="Arial"/>
          <w:b/>
        </w:rPr>
      </w:pPr>
    </w:p>
    <w:p w14:paraId="01E3F82F" w14:textId="77777777" w:rsidR="00CB23BA" w:rsidRDefault="00CB23BA">
      <w:pPr>
        <w:jc w:val="center"/>
        <w:rPr>
          <w:rFonts w:ascii="Arial" w:eastAsia="Arial" w:hAnsi="Arial" w:cs="Arial"/>
          <w:b/>
        </w:rPr>
      </w:pPr>
    </w:p>
    <w:p w14:paraId="21B4E636" w14:textId="77777777" w:rsidR="00CB23BA" w:rsidRDefault="00000000"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AUTOR: PODER EXECUTIVO</w:t>
      </w:r>
    </w:p>
    <w:p w14:paraId="33F075DE" w14:textId="77777777" w:rsidR="00CB23BA" w:rsidRDefault="00CB23BA">
      <w:pPr>
        <w:rPr>
          <w:rFonts w:ascii="Arial" w:eastAsia="Arial" w:hAnsi="Arial" w:cs="Arial"/>
        </w:rPr>
      </w:pPr>
    </w:p>
    <w:p w14:paraId="2AE6A4BC" w14:textId="77777777" w:rsidR="00CB23BA" w:rsidRDefault="00CB23BA">
      <w:pPr>
        <w:jc w:val="center"/>
        <w:rPr>
          <w:rFonts w:ascii="Arial" w:eastAsia="Arial" w:hAnsi="Arial" w:cs="Arial"/>
        </w:rPr>
      </w:pPr>
    </w:p>
    <w:p w14:paraId="5F2B035D" w14:textId="6635F65C" w:rsidR="00CB23BA" w:rsidRDefault="00000000">
      <w:pPr>
        <w:ind w:left="4248"/>
        <w:jc w:val="both"/>
        <w:rPr>
          <w:rFonts w:ascii="Calibri" w:eastAsia="Calibri" w:hAnsi="Calibri" w:cs="Calibri"/>
          <w:b/>
        </w:rPr>
      </w:pPr>
      <w:r>
        <w:rPr>
          <w:rFonts w:ascii="Arial" w:eastAsia="Arial" w:hAnsi="Arial" w:cs="Arial"/>
        </w:rPr>
        <w:t xml:space="preserve">Ementa: </w:t>
      </w:r>
      <w:r w:rsidR="00F0725C" w:rsidRPr="00F0725C">
        <w:rPr>
          <w:rFonts w:ascii="Arial" w:eastAsia="Arial" w:hAnsi="Arial" w:cs="Arial"/>
          <w:b/>
        </w:rPr>
        <w:t>Institui e regulamenta o Fundo de Modernização da Administração Fazendária (FMAF) e dá outras providências.</w:t>
      </w:r>
    </w:p>
    <w:p w14:paraId="102CEF50" w14:textId="77777777" w:rsidR="00CB23BA" w:rsidRDefault="00CB23BA">
      <w:pPr>
        <w:rPr>
          <w:rFonts w:ascii="Arial" w:eastAsia="Arial" w:hAnsi="Arial" w:cs="Arial"/>
          <w:b/>
        </w:rPr>
      </w:pPr>
    </w:p>
    <w:p w14:paraId="26E59273" w14:textId="77777777" w:rsidR="00CB23BA" w:rsidRDefault="00CB23BA">
      <w:pPr>
        <w:ind w:left="4248"/>
        <w:rPr>
          <w:rFonts w:ascii="Arial" w:eastAsia="Arial" w:hAnsi="Arial" w:cs="Arial"/>
          <w:b/>
        </w:rPr>
      </w:pPr>
    </w:p>
    <w:p w14:paraId="50301D11" w14:textId="77777777" w:rsidR="00CB23BA" w:rsidRDefault="00000000">
      <w:pPr>
        <w:rPr>
          <w:rFonts w:ascii="Arial" w:eastAsia="Arial" w:hAnsi="Arial" w:cs="Arial"/>
          <w:b/>
        </w:rPr>
      </w:pPr>
      <w:r>
        <w:rPr>
          <w:rFonts w:ascii="Arial" w:eastAsia="Arial" w:hAnsi="Arial" w:cs="Arial"/>
        </w:rPr>
        <w:t xml:space="preserve">RELATOR: </w:t>
      </w:r>
      <w:r>
        <w:rPr>
          <w:rFonts w:ascii="Arial" w:eastAsia="Arial" w:hAnsi="Arial" w:cs="Arial"/>
          <w:b/>
        </w:rPr>
        <w:t>PROFESSOR TULIO</w:t>
      </w:r>
    </w:p>
    <w:p w14:paraId="60D80677" w14:textId="77777777" w:rsidR="00CB23BA" w:rsidRDefault="00CB23BA">
      <w:pPr>
        <w:rPr>
          <w:rFonts w:ascii="Arial" w:eastAsia="Arial" w:hAnsi="Arial" w:cs="Arial"/>
          <w:b/>
        </w:rPr>
      </w:pPr>
    </w:p>
    <w:p w14:paraId="5A7CF5A5" w14:textId="77777777" w:rsidR="00CB23BA" w:rsidRDefault="00CB23BA">
      <w:pPr>
        <w:rPr>
          <w:rFonts w:ascii="Arial" w:eastAsia="Arial" w:hAnsi="Arial" w:cs="Arial"/>
          <w:b/>
        </w:rPr>
      </w:pPr>
    </w:p>
    <w:p w14:paraId="06E8A2CC" w14:textId="77777777" w:rsidR="00CB23BA" w:rsidRDefault="00CB23BA">
      <w:pPr>
        <w:rPr>
          <w:rFonts w:ascii="Arial" w:eastAsia="Arial" w:hAnsi="Arial" w:cs="Arial"/>
          <w:b/>
        </w:rPr>
      </w:pPr>
    </w:p>
    <w:p w14:paraId="6EF05F75" w14:textId="62BF99B0" w:rsidR="00CB23BA" w:rsidRDefault="00000000" w:rsidP="00867426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u w:val="single"/>
        </w:rPr>
        <w:t>Relatório:</w:t>
      </w:r>
      <w:r>
        <w:rPr>
          <w:rFonts w:ascii="Arial" w:eastAsia="Arial" w:hAnsi="Arial" w:cs="Arial"/>
        </w:rPr>
        <w:t xml:space="preserve">  </w:t>
      </w:r>
    </w:p>
    <w:p w14:paraId="6F3BAED7" w14:textId="77777777" w:rsidR="00867426" w:rsidRDefault="00867426" w:rsidP="00867426">
      <w:pPr>
        <w:jc w:val="both"/>
        <w:rPr>
          <w:rFonts w:ascii="Arial" w:eastAsia="Arial" w:hAnsi="Arial" w:cs="Arial"/>
        </w:rPr>
      </w:pPr>
    </w:p>
    <w:p w14:paraId="6A6CF9BF" w14:textId="77777777" w:rsidR="00F0725C" w:rsidRPr="00F0725C" w:rsidRDefault="00F0725C" w:rsidP="00F0725C">
      <w:pPr>
        <w:spacing w:after="100" w:afterAutospacing="1"/>
        <w:jc w:val="both"/>
        <w:rPr>
          <w:rFonts w:ascii="Arial" w:hAnsi="Arial" w:cs="Arial"/>
        </w:rPr>
      </w:pPr>
      <w:r w:rsidRPr="00F0725C">
        <w:rPr>
          <w:rFonts w:ascii="Arial" w:hAnsi="Arial" w:cs="Arial"/>
        </w:rPr>
        <w:t xml:space="preserve">Este parecer tem por finalidade analisar o Projeto de Lei Nº 00061/2026, de autoria do Poder Executivo. </w:t>
      </w:r>
    </w:p>
    <w:p w14:paraId="71B604ED" w14:textId="77777777" w:rsidR="00F0725C" w:rsidRPr="00F0725C" w:rsidRDefault="00F0725C" w:rsidP="00F0725C">
      <w:pPr>
        <w:spacing w:after="100" w:afterAutospacing="1"/>
        <w:jc w:val="both"/>
        <w:rPr>
          <w:rFonts w:ascii="Arial" w:hAnsi="Arial" w:cs="Arial"/>
        </w:rPr>
      </w:pPr>
      <w:r w:rsidRPr="00F0725C">
        <w:rPr>
          <w:rFonts w:ascii="Arial" w:hAnsi="Arial" w:cs="Arial"/>
        </w:rPr>
        <w:t xml:space="preserve">A proposição legislativa em tela visa instituir o Fundo de Modernização da Administração Fazendária (FMAF) no âmbito da Secretaria Municipal de Fazenda. A medida busca assegurar recursos suplementares para a gestão e a modernização perene das atividades fazendárias, englobando investimentos em tecnologia, infraestrutura, aquisição de sistemas e a indispensável capacitação dos Auditores Fiscais e demais servidores do quadro. </w:t>
      </w:r>
    </w:p>
    <w:p w14:paraId="6EE7F18E" w14:textId="77777777" w:rsidR="00F0725C" w:rsidRPr="00F0725C" w:rsidRDefault="00F0725C" w:rsidP="00F0725C">
      <w:pPr>
        <w:spacing w:after="100" w:afterAutospacing="1"/>
        <w:jc w:val="both"/>
        <w:rPr>
          <w:rFonts w:ascii="Arial" w:hAnsi="Arial" w:cs="Arial"/>
        </w:rPr>
      </w:pPr>
      <w:r w:rsidRPr="00F0725C">
        <w:rPr>
          <w:rFonts w:ascii="Arial" w:hAnsi="Arial" w:cs="Arial"/>
        </w:rPr>
        <w:t xml:space="preserve">Adicionalmente, o projeto institui a Prestação Pecuniária Eventual (PPE), uma retribuição de caráter indenizatório e meritório, vinculada ao alcance de metas de arrecadação municipal estipuladas via acordo de resultados. </w:t>
      </w:r>
    </w:p>
    <w:p w14:paraId="532ABF5C" w14:textId="77777777" w:rsidR="00F0725C" w:rsidRPr="00F0725C" w:rsidRDefault="00F0725C" w:rsidP="00F0725C">
      <w:pPr>
        <w:spacing w:after="100" w:afterAutospacing="1"/>
        <w:jc w:val="both"/>
        <w:rPr>
          <w:rFonts w:ascii="Arial" w:hAnsi="Arial" w:cs="Arial"/>
        </w:rPr>
      </w:pPr>
      <w:r w:rsidRPr="00F0725C">
        <w:rPr>
          <w:rFonts w:ascii="Arial" w:hAnsi="Arial" w:cs="Arial"/>
        </w:rPr>
        <w:t xml:space="preserve">Conforme explicitado na justificativa (Mensagem Executiva Nº 03/2026) que acompanha o PL, a iniciativa tem o propósito de desenvolver práticas fiscais modernas que elevem a capacidade de arrecadação de receitas próprias sem que haja a majoração de tributos. O texto também sublinha a necessidade de estancar a indesejável fuga de talentos da administração fazendária local para outras carreiras mais atrativas. </w:t>
      </w:r>
    </w:p>
    <w:p w14:paraId="29FC001E" w14:textId="77777777" w:rsidR="00F0725C" w:rsidRPr="00F0725C" w:rsidRDefault="00F0725C" w:rsidP="00F0725C">
      <w:pPr>
        <w:spacing w:after="100" w:afterAutospacing="1"/>
        <w:jc w:val="both"/>
        <w:rPr>
          <w:rFonts w:ascii="Arial" w:hAnsi="Arial" w:cs="Arial"/>
        </w:rPr>
      </w:pPr>
      <w:r w:rsidRPr="00F0725C">
        <w:rPr>
          <w:rFonts w:ascii="Arial" w:hAnsi="Arial" w:cs="Arial"/>
        </w:rPr>
        <w:lastRenderedPageBreak/>
        <w:t>O escopo do presente parecer concentra-se na avaliação da relevância administrativa, do mérito gerencial e dos impactos da proposta na política de valorização dos servidores municipais de Niterói.</w:t>
      </w:r>
    </w:p>
    <w:p w14:paraId="168AF96D" w14:textId="77777777" w:rsidR="00CB23BA" w:rsidRDefault="00CB23BA">
      <w:pPr>
        <w:rPr>
          <w:rFonts w:ascii="Arial" w:eastAsia="Arial" w:hAnsi="Arial" w:cs="Arial"/>
        </w:rPr>
      </w:pPr>
    </w:p>
    <w:p w14:paraId="6C8F900E" w14:textId="77777777" w:rsidR="00CB23BA" w:rsidRDefault="00000000">
      <w:pPr>
        <w:rPr>
          <w:rFonts w:ascii="Arial" w:eastAsia="Arial" w:hAnsi="Arial" w:cs="Arial"/>
          <w:b/>
          <w:u w:val="single"/>
        </w:rPr>
      </w:pPr>
      <w:r>
        <w:rPr>
          <w:rFonts w:ascii="Arial" w:eastAsia="Arial" w:hAnsi="Arial" w:cs="Arial"/>
          <w:b/>
          <w:u w:val="single"/>
        </w:rPr>
        <w:t>Voto do Relator</w:t>
      </w:r>
    </w:p>
    <w:p w14:paraId="5A965189" w14:textId="77777777" w:rsidR="00CB23BA" w:rsidRDefault="00CB23BA">
      <w:pPr>
        <w:spacing w:line="276" w:lineRule="auto"/>
        <w:rPr>
          <w:rFonts w:ascii="Arial" w:eastAsia="Arial" w:hAnsi="Arial" w:cs="Arial"/>
          <w:u w:val="single"/>
        </w:rPr>
      </w:pPr>
    </w:p>
    <w:p w14:paraId="475A67EE" w14:textId="2EC84E53" w:rsidR="00F0725C" w:rsidRPr="00F0725C" w:rsidRDefault="00F0725C" w:rsidP="00F0725C">
      <w:pPr>
        <w:spacing w:after="100" w:afterAutospacing="1"/>
        <w:jc w:val="both"/>
        <w:rPr>
          <w:rFonts w:ascii="Arial" w:hAnsi="Arial" w:cs="Arial"/>
        </w:rPr>
      </w:pPr>
      <w:r w:rsidRPr="00F0725C">
        <w:rPr>
          <w:rFonts w:ascii="Arial" w:hAnsi="Arial" w:cs="Arial"/>
        </w:rPr>
        <w:t>A aprovação do PL Nº 00061/2026 reveste-se de notória relevância e interesse público para a Administração Municipal de Niterói, por promover a eficiência fiscal aliada à valorização do servidor.</w:t>
      </w:r>
    </w:p>
    <w:p w14:paraId="7251F238" w14:textId="77777777" w:rsidR="00F0725C" w:rsidRPr="00F0725C" w:rsidRDefault="00F0725C" w:rsidP="00F0725C">
      <w:pPr>
        <w:spacing w:after="100" w:afterAutospacing="1"/>
        <w:jc w:val="both"/>
        <w:rPr>
          <w:rFonts w:ascii="Arial" w:hAnsi="Arial" w:cs="Arial"/>
        </w:rPr>
      </w:pPr>
      <w:r w:rsidRPr="00F0725C">
        <w:rPr>
          <w:rFonts w:ascii="Arial" w:hAnsi="Arial" w:cs="Arial"/>
        </w:rPr>
        <w:t xml:space="preserve">Primeiramente, a estruturação de um fundo voltado exclusivamente à modernização da máquina arrecadatória (FMAF) consagra uma visão de gestão pública focada em eficiência. Ao destinar percentuais do aumento real da arrecadação e da recuperação de multas para o aprimoramento tecnológico e estrutural do Fisco, o município cria um ciclo virtuoso. Um Fisco bem equipado combate a evasão fiscal de forma mais eficaz, gerando receitas que beneficiam toda a coletividade. </w:t>
      </w:r>
    </w:p>
    <w:p w14:paraId="4CC6499A" w14:textId="2AF600F7" w:rsidR="00F0725C" w:rsidRPr="00F0725C" w:rsidRDefault="00F0725C" w:rsidP="00F0725C">
      <w:pPr>
        <w:spacing w:after="100" w:afterAutospacing="1"/>
        <w:jc w:val="both"/>
        <w:rPr>
          <w:rFonts w:ascii="Arial" w:hAnsi="Arial" w:cs="Arial"/>
        </w:rPr>
      </w:pPr>
      <w:r w:rsidRPr="00F0725C">
        <w:rPr>
          <w:rFonts w:ascii="Arial" w:hAnsi="Arial" w:cs="Arial"/>
        </w:rPr>
        <w:t xml:space="preserve">Em segundo lugar, a adoção da Prestação Pecuniária Eventual (PPE) baseada em metas consolida a </w:t>
      </w:r>
      <w:r>
        <w:rPr>
          <w:rFonts w:ascii="Arial" w:hAnsi="Arial" w:cs="Arial"/>
        </w:rPr>
        <w:t>valorização</w:t>
      </w:r>
      <w:r w:rsidRPr="00F0725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</w:t>
      </w:r>
      <w:r w:rsidRPr="00F0725C">
        <w:rPr>
          <w:rFonts w:ascii="Arial" w:hAnsi="Arial" w:cs="Arial"/>
        </w:rPr>
        <w:t xml:space="preserve"> serviço público. É imperioso destacar a responsabilidade fiscal da medida: o pagamento do incentivo não onera o orçamento preexistente, pois está rigorosamente condicionado a um aumento real da receita de impostos igual ou superior a 3,5% acima do IPCA, em relação ao mesmo semestre do ano anterior. Trata-se, portanto, de uma vantagem autofinanciada pelos resultados concretos gerados pelo empenho dos próprios servidores. </w:t>
      </w:r>
    </w:p>
    <w:p w14:paraId="6E026B24" w14:textId="3A8FD062" w:rsidR="00F0725C" w:rsidRPr="00F0725C" w:rsidRDefault="00F0725C" w:rsidP="00F0725C">
      <w:pPr>
        <w:spacing w:after="100" w:afterAutospacing="1"/>
        <w:jc w:val="both"/>
        <w:rPr>
          <w:rFonts w:ascii="Arial" w:hAnsi="Arial" w:cs="Arial"/>
        </w:rPr>
      </w:pPr>
      <w:r w:rsidRPr="00F0725C">
        <w:rPr>
          <w:rFonts w:ascii="Arial" w:hAnsi="Arial" w:cs="Arial"/>
        </w:rPr>
        <w:t xml:space="preserve">Adicionalmente, o projeto institui mecanismos sólidos de governança e controle. A gestão dos recursos será supervisionada por um Comitê Deliberativo composto por servidores de diversas carreiras fazendárias, e as contas do fundo estarão sujeitas à inspeção anual da Controladoria Geral do Município, garantindo total transparência. </w:t>
      </w:r>
    </w:p>
    <w:p w14:paraId="6DD527E1" w14:textId="77777777" w:rsidR="00F0725C" w:rsidRPr="00F0725C" w:rsidRDefault="00F0725C" w:rsidP="00F0725C">
      <w:pPr>
        <w:spacing w:after="100" w:afterAutospacing="1"/>
        <w:jc w:val="both"/>
        <w:rPr>
          <w:rFonts w:ascii="Arial" w:hAnsi="Arial" w:cs="Arial"/>
        </w:rPr>
      </w:pPr>
      <w:r w:rsidRPr="00F0725C">
        <w:rPr>
          <w:rFonts w:ascii="Arial" w:hAnsi="Arial" w:cs="Arial"/>
        </w:rPr>
        <w:t xml:space="preserve">Por fim, a medida atende ao princípio da razoabilidade e alinha o município de Niterói às melhores práticas de gestão fiscal já observadas com êxito em diversos estados e municípios brasileiros. </w:t>
      </w:r>
    </w:p>
    <w:p w14:paraId="292AFA9F" w14:textId="329138C7" w:rsidR="00CB23BA" w:rsidRDefault="00000000" w:rsidP="00867426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before="300" w:after="300"/>
        <w:jc w:val="both"/>
        <w:rPr>
          <w:rFonts w:ascii="Arial" w:eastAsia="Arial" w:hAnsi="Arial" w:cs="Arial"/>
          <w:b/>
          <w:u w:val="single"/>
        </w:rPr>
      </w:pPr>
      <w:r>
        <w:rPr>
          <w:rFonts w:ascii="Arial" w:eastAsia="Arial" w:hAnsi="Arial" w:cs="Arial"/>
          <w:b/>
          <w:u w:val="single"/>
        </w:rPr>
        <w:t>Conclusão:</w:t>
      </w:r>
    </w:p>
    <w:p w14:paraId="779B3F60" w14:textId="77777777" w:rsidR="00F0725C" w:rsidRPr="00F0725C" w:rsidRDefault="00F0725C" w:rsidP="00F0725C">
      <w:pPr>
        <w:spacing w:after="100" w:afterAutospacing="1"/>
        <w:jc w:val="both"/>
        <w:rPr>
          <w:rFonts w:ascii="Arial" w:hAnsi="Arial" w:cs="Arial"/>
        </w:rPr>
      </w:pPr>
      <w:r w:rsidRPr="00F0725C">
        <w:rPr>
          <w:rFonts w:ascii="Arial" w:hAnsi="Arial" w:cs="Arial"/>
        </w:rPr>
        <w:t>Após a detida análise das disposições do Projeto de Lei Nº 00061/2026 e de sua robusta justificativa, esta Relatoria conclui pela sua manifesta relevância e mérito.</w:t>
      </w:r>
    </w:p>
    <w:p w14:paraId="19DB2D6E" w14:textId="77777777" w:rsidR="00F0725C" w:rsidRPr="00F0725C" w:rsidRDefault="00F0725C" w:rsidP="00F0725C">
      <w:pPr>
        <w:spacing w:after="100" w:afterAutospacing="1"/>
        <w:jc w:val="both"/>
        <w:rPr>
          <w:rFonts w:ascii="Arial" w:hAnsi="Arial" w:cs="Arial"/>
        </w:rPr>
      </w:pPr>
      <w:r w:rsidRPr="00F0725C">
        <w:rPr>
          <w:rFonts w:ascii="Arial" w:hAnsi="Arial" w:cs="Arial"/>
        </w:rPr>
        <w:lastRenderedPageBreak/>
        <w:t xml:space="preserve">O Projeto de Lei em exame representa um avanço significativo para a Administração Pública do Município de Niterói, ao dotar a Secretaria Municipal de Fazenda de instrumentos modernos de gestão e garantir uma política justa de estímulo à produtividade. </w:t>
      </w:r>
    </w:p>
    <w:p w14:paraId="086A89A4" w14:textId="77777777" w:rsidR="00F0725C" w:rsidRPr="00F0725C" w:rsidRDefault="00F0725C" w:rsidP="00F0725C">
      <w:pPr>
        <w:spacing w:after="100" w:afterAutospacing="1"/>
        <w:jc w:val="both"/>
        <w:rPr>
          <w:rFonts w:ascii="Arial" w:hAnsi="Arial" w:cs="Arial"/>
        </w:rPr>
      </w:pPr>
      <w:r w:rsidRPr="00F0725C">
        <w:rPr>
          <w:rFonts w:ascii="Arial" w:hAnsi="Arial" w:cs="Arial"/>
        </w:rPr>
        <w:t xml:space="preserve">Considerando que a proposição fomenta o aumento da arrecadação de forma inteligente, sem penalizar o cidadão com novos tributos; </w:t>
      </w:r>
    </w:p>
    <w:p w14:paraId="7A2F0049" w14:textId="77777777" w:rsidR="00F0725C" w:rsidRPr="00F0725C" w:rsidRDefault="00F0725C" w:rsidP="00F0725C">
      <w:pPr>
        <w:spacing w:after="100" w:afterAutospacing="1"/>
        <w:jc w:val="both"/>
        <w:rPr>
          <w:rFonts w:ascii="Arial" w:hAnsi="Arial" w:cs="Arial"/>
        </w:rPr>
      </w:pPr>
      <w:r w:rsidRPr="00F0725C">
        <w:rPr>
          <w:rFonts w:ascii="Arial" w:hAnsi="Arial" w:cs="Arial"/>
        </w:rPr>
        <w:t xml:space="preserve">Considerando a imperiosa necessidade de resguardar a memória institucional, evitar a fuga de profissionais altamente qualificados e reconhecer o mérito dos servidores fazendários no desempenho de suas funções essenciais; </w:t>
      </w:r>
    </w:p>
    <w:p w14:paraId="782AFB0F" w14:textId="77777777" w:rsidR="00F0725C" w:rsidRPr="00F0725C" w:rsidRDefault="00F0725C" w:rsidP="00F0725C">
      <w:pPr>
        <w:spacing w:after="100" w:afterAutospacing="1"/>
        <w:jc w:val="both"/>
        <w:rPr>
          <w:rFonts w:ascii="Arial" w:hAnsi="Arial" w:cs="Arial"/>
        </w:rPr>
      </w:pPr>
      <w:r w:rsidRPr="00F0725C">
        <w:rPr>
          <w:rFonts w:ascii="Arial" w:hAnsi="Arial" w:cs="Arial"/>
        </w:rPr>
        <w:t xml:space="preserve">Diante do exposto, esta Relatoria manifesta-se </w:t>
      </w:r>
      <w:r w:rsidRPr="00F0725C">
        <w:rPr>
          <w:rFonts w:ascii="Arial" w:hAnsi="Arial" w:cs="Arial"/>
          <w:b/>
          <w:bCs/>
        </w:rPr>
        <w:t>FAVORAVELMENTE</w:t>
      </w:r>
      <w:r w:rsidRPr="00F0725C">
        <w:rPr>
          <w:rFonts w:ascii="Arial" w:hAnsi="Arial" w:cs="Arial"/>
        </w:rPr>
        <w:t xml:space="preserve"> à aprovação do Projeto de Lei Nº 00061/2026 pela Comissão Permanente de Administração, Estatística e Servidores Públicos, e, subsequentemente, pelo Plenário desta Casa Legislativa.</w:t>
      </w:r>
    </w:p>
    <w:p w14:paraId="2FFED35E" w14:textId="77777777" w:rsidR="00CB23BA" w:rsidRDefault="00CB23BA">
      <w:pPr>
        <w:rPr>
          <w:rFonts w:ascii="Arial" w:eastAsia="Arial" w:hAnsi="Arial" w:cs="Arial"/>
        </w:rPr>
      </w:pPr>
    </w:p>
    <w:p w14:paraId="5DFF9470" w14:textId="77777777" w:rsidR="00CB23BA" w:rsidRDefault="00CB23BA">
      <w:pPr>
        <w:jc w:val="center"/>
        <w:rPr>
          <w:rFonts w:ascii="Arial" w:eastAsia="Arial" w:hAnsi="Arial" w:cs="Arial"/>
        </w:rPr>
      </w:pPr>
    </w:p>
    <w:p w14:paraId="30EE7DFB" w14:textId="1BBD7D2E" w:rsidR="00CB23BA" w:rsidRDefault="00000000"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Niterói, </w:t>
      </w:r>
      <w:r w:rsidR="00F0725C">
        <w:rPr>
          <w:rFonts w:ascii="Arial" w:eastAsia="Arial" w:hAnsi="Arial" w:cs="Arial"/>
        </w:rPr>
        <w:t>07</w:t>
      </w:r>
      <w:r w:rsidR="00867426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de </w:t>
      </w:r>
      <w:r w:rsidR="00F0725C">
        <w:rPr>
          <w:rFonts w:ascii="Arial" w:eastAsia="Arial" w:hAnsi="Arial" w:cs="Arial"/>
        </w:rPr>
        <w:t>maio</w:t>
      </w:r>
      <w:r>
        <w:rPr>
          <w:rFonts w:ascii="Arial" w:eastAsia="Arial" w:hAnsi="Arial" w:cs="Arial"/>
        </w:rPr>
        <w:t xml:space="preserve"> de 202</w:t>
      </w:r>
      <w:r w:rsidR="00F0725C">
        <w:rPr>
          <w:rFonts w:ascii="Arial" w:eastAsia="Arial" w:hAnsi="Arial" w:cs="Arial"/>
        </w:rPr>
        <w:t>6</w:t>
      </w:r>
    </w:p>
    <w:p w14:paraId="4863D23C" w14:textId="77777777" w:rsidR="00CB23BA" w:rsidRDefault="00CB23BA">
      <w:pPr>
        <w:jc w:val="center"/>
        <w:rPr>
          <w:rFonts w:ascii="Arial" w:eastAsia="Arial" w:hAnsi="Arial" w:cs="Arial"/>
        </w:rPr>
      </w:pPr>
    </w:p>
    <w:p w14:paraId="38852FA6" w14:textId="77777777" w:rsidR="00CB23BA" w:rsidRDefault="00CB23BA">
      <w:pPr>
        <w:rPr>
          <w:rFonts w:ascii="Arial" w:eastAsia="Arial" w:hAnsi="Arial" w:cs="Arial"/>
        </w:rPr>
      </w:pPr>
    </w:p>
    <w:p w14:paraId="6881C3B3" w14:textId="77777777" w:rsidR="00CB23BA" w:rsidRDefault="00CB23BA">
      <w:pPr>
        <w:rPr>
          <w:rFonts w:ascii="Arial" w:eastAsia="Arial" w:hAnsi="Arial" w:cs="Arial"/>
        </w:rPr>
      </w:pPr>
    </w:p>
    <w:p w14:paraId="553DA668" w14:textId="77777777" w:rsidR="00CB23BA" w:rsidRDefault="00CB23BA">
      <w:pPr>
        <w:rPr>
          <w:rFonts w:ascii="Arial" w:eastAsia="Arial" w:hAnsi="Arial" w:cs="Arial"/>
        </w:rPr>
      </w:pPr>
    </w:p>
    <w:p w14:paraId="3925D1B4" w14:textId="77777777" w:rsidR="00CB23BA" w:rsidRDefault="00000000">
      <w:pPr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PROFESSOR TULIO                                                     ANDERSON PIPICO</w:t>
      </w:r>
    </w:p>
    <w:p w14:paraId="7AEAABC5" w14:textId="77777777" w:rsidR="00CB23BA" w:rsidRDefault="00000000">
      <w:pPr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 Presidente e Relator                                                                             Vice-Presidente</w:t>
      </w:r>
    </w:p>
    <w:p w14:paraId="17CCAC6A" w14:textId="77777777" w:rsidR="00CB23BA" w:rsidRDefault="00CB23BA">
      <w:pPr>
        <w:rPr>
          <w:rFonts w:ascii="Arial" w:eastAsia="Arial" w:hAnsi="Arial" w:cs="Arial"/>
          <w:sz w:val="20"/>
          <w:szCs w:val="20"/>
        </w:rPr>
      </w:pPr>
    </w:p>
    <w:p w14:paraId="21FF1E20" w14:textId="77777777" w:rsidR="00CB23BA" w:rsidRDefault="00CB23BA">
      <w:pPr>
        <w:rPr>
          <w:rFonts w:ascii="Arial" w:eastAsia="Arial" w:hAnsi="Arial" w:cs="Arial"/>
          <w:sz w:val="20"/>
          <w:szCs w:val="20"/>
        </w:rPr>
      </w:pPr>
    </w:p>
    <w:p w14:paraId="53336D44" w14:textId="77777777" w:rsidR="00CB23BA" w:rsidRDefault="00CB23BA">
      <w:pPr>
        <w:rPr>
          <w:rFonts w:ascii="Arial" w:eastAsia="Arial" w:hAnsi="Arial" w:cs="Arial"/>
          <w:sz w:val="20"/>
          <w:szCs w:val="20"/>
        </w:rPr>
      </w:pPr>
    </w:p>
    <w:p w14:paraId="76F3BA05" w14:textId="77777777" w:rsidR="00CB23BA" w:rsidRDefault="00000000">
      <w:pPr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EMANUEL ROCHA</w:t>
      </w:r>
    </w:p>
    <w:p w14:paraId="7F34365E" w14:textId="77777777" w:rsidR="00CB23BA" w:rsidRDefault="00000000">
      <w:pPr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</w:rPr>
        <w:t xml:space="preserve">                      </w:t>
      </w:r>
      <w:r>
        <w:rPr>
          <w:rFonts w:ascii="Arial" w:eastAsia="Arial" w:hAnsi="Arial" w:cs="Arial"/>
        </w:rPr>
        <w:t xml:space="preserve">                                    </w:t>
      </w:r>
      <w:r>
        <w:rPr>
          <w:rFonts w:ascii="Arial" w:eastAsia="Arial" w:hAnsi="Arial" w:cs="Arial"/>
          <w:sz w:val="20"/>
          <w:szCs w:val="20"/>
        </w:rPr>
        <w:t>Membro</w:t>
      </w:r>
    </w:p>
    <w:p w14:paraId="1116AB5D" w14:textId="77777777" w:rsidR="00CB23BA" w:rsidRDefault="00CB23BA">
      <w:pPr>
        <w:rPr>
          <w:rFonts w:ascii="Arial" w:eastAsia="Arial" w:hAnsi="Arial" w:cs="Arial"/>
        </w:rPr>
      </w:pPr>
    </w:p>
    <w:p w14:paraId="2DB8C1F6" w14:textId="77777777" w:rsidR="00CB23BA" w:rsidRDefault="00CB23BA"/>
    <w:sectPr w:rsidR="00CB23BA">
      <w:headerReference w:type="default" r:id="rId7"/>
      <w:pgSz w:w="11906" w:h="16838"/>
      <w:pgMar w:top="1417" w:right="1701" w:bottom="1417" w:left="1701" w:header="708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A4BD74" w14:textId="77777777" w:rsidR="00E65EC1" w:rsidRDefault="00E65EC1">
      <w:r>
        <w:separator/>
      </w:r>
    </w:p>
  </w:endnote>
  <w:endnote w:type="continuationSeparator" w:id="0">
    <w:p w14:paraId="09A3196B" w14:textId="77777777" w:rsidR="00E65EC1" w:rsidRDefault="00E65E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  <w:embedRegular r:id="rId1" w:fontKey="{3640BF5F-85BD-4905-8D86-8F31F6B729DD}"/>
    <w:embedItalic r:id="rId2" w:fontKey="{5E4586D4-E40E-4C62-B525-BC6F30BE17CF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3" w:fontKey="{DF0108A7-E2E7-4681-8164-49B2EDCA2DB9}"/>
    <w:embedItalic r:id="rId4" w:fontKey="{F0291CDD-30F7-4124-B02F-6B2D552DC3AB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F2B9AB97-E561-43B3-B36C-07AAA6B0ECE4}"/>
    <w:embedBold r:id="rId6" w:fontKey="{B24F2D48-E265-48DE-B994-930AE2957568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7" w:fontKey="{EEF40BB7-CBF3-4665-ADDC-B2405056DB7D}"/>
    <w:embedBold r:id="rId8" w:fontKey="{24438C0B-77B9-42EA-9A63-7AF671B1D8D9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9" w:fontKey="{E90406AA-0238-4172-AF0E-E62462D7A021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E20DFC" w14:textId="77777777" w:rsidR="00E65EC1" w:rsidRDefault="00E65EC1">
      <w:r>
        <w:separator/>
      </w:r>
    </w:p>
  </w:footnote>
  <w:footnote w:type="continuationSeparator" w:id="0">
    <w:p w14:paraId="5FE16341" w14:textId="77777777" w:rsidR="00E65EC1" w:rsidRDefault="00E65E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CB2D4B" w14:textId="77777777" w:rsidR="00CB23BA" w:rsidRDefault="00CB23BA">
    <w:pPr>
      <w:tabs>
        <w:tab w:val="center" w:pos="4252"/>
        <w:tab w:val="right" w:pos="8504"/>
      </w:tabs>
      <w:rPr>
        <w:color w:val="000000"/>
      </w:rPr>
    </w:pPr>
  </w:p>
  <w:tbl>
    <w:tblPr>
      <w:tblStyle w:val="a1"/>
      <w:tblW w:w="9957" w:type="dxa"/>
      <w:tblInd w:w="-1127" w:type="dxa"/>
      <w:tblLayout w:type="fixed"/>
      <w:tblLook w:val="0000" w:firstRow="0" w:lastRow="0" w:firstColumn="0" w:lastColumn="0" w:noHBand="0" w:noVBand="0"/>
    </w:tblPr>
    <w:tblGrid>
      <w:gridCol w:w="2544"/>
      <w:gridCol w:w="7413"/>
    </w:tblGrid>
    <w:tr w:rsidR="00CB23BA" w14:paraId="72C22FE8" w14:textId="77777777">
      <w:trPr>
        <w:trHeight w:val="1503"/>
      </w:trPr>
      <w:tc>
        <w:tcPr>
          <w:tcW w:w="2544" w:type="dxa"/>
        </w:tcPr>
        <w:p w14:paraId="16956AC5" w14:textId="77777777" w:rsidR="00CB23BA" w:rsidRDefault="00000000">
          <w:pPr>
            <w:tabs>
              <w:tab w:val="center" w:pos="4252"/>
              <w:tab w:val="right" w:pos="8504"/>
            </w:tabs>
            <w:ind w:right="332"/>
            <w:rPr>
              <w:color w:val="000000"/>
            </w:rPr>
          </w:pPr>
          <w:r>
            <w:rPr>
              <w:noProof/>
            </w:rPr>
            <w:drawing>
              <wp:inline distT="0" distB="0" distL="0" distR="0" wp14:anchorId="6E5D0981" wp14:editId="02428C48">
                <wp:extent cx="952500" cy="1133475"/>
                <wp:effectExtent l="0" t="0" r="0" b="0"/>
                <wp:docPr id="4" name="image1.jpg" descr="Logo CMN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 descr="Logo CMN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00" cy="113347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413" w:type="dxa"/>
        </w:tcPr>
        <w:p w14:paraId="7D2DB6D8" w14:textId="77777777" w:rsidR="00CB23BA" w:rsidRDefault="00CB23BA">
          <w:pP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  <w:sz w:val="20"/>
              <w:szCs w:val="20"/>
            </w:rPr>
          </w:pPr>
        </w:p>
        <w:p w14:paraId="5DCC6DE9" w14:textId="77777777" w:rsidR="00CB23BA" w:rsidRDefault="00000000">
          <w:pPr>
            <w:tabs>
              <w:tab w:val="center" w:pos="4252"/>
              <w:tab w:val="right" w:pos="8504"/>
            </w:tabs>
            <w:rPr>
              <w:rFonts w:ascii="Tahoma" w:eastAsia="Tahoma" w:hAnsi="Tahoma" w:cs="Tahoma"/>
              <w:b/>
              <w:color w:val="000000"/>
              <w:sz w:val="40"/>
              <w:szCs w:val="40"/>
            </w:rPr>
          </w:pPr>
          <w:r>
            <w:rPr>
              <w:rFonts w:ascii="Tahoma" w:eastAsia="Tahoma" w:hAnsi="Tahoma" w:cs="Tahoma"/>
              <w:b/>
              <w:color w:val="000000"/>
              <w:sz w:val="48"/>
              <w:szCs w:val="48"/>
            </w:rPr>
            <w:t xml:space="preserve"> Câmara Municipal de Niterói</w:t>
          </w:r>
        </w:p>
        <w:p w14:paraId="06A15DC9" w14:textId="77777777" w:rsidR="00CB23BA" w:rsidRDefault="00CB23BA">
          <w:pP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color w:val="000000"/>
              <w:sz w:val="4"/>
              <w:szCs w:val="4"/>
            </w:rPr>
          </w:pPr>
        </w:p>
        <w:p w14:paraId="7797AF33" w14:textId="77777777" w:rsidR="00CB23BA" w:rsidRDefault="00000000">
          <w:pP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  <w:r>
            <w:rPr>
              <w:rFonts w:ascii="Tahoma" w:eastAsia="Tahoma" w:hAnsi="Tahoma" w:cs="Tahoma"/>
              <w:b/>
              <w:color w:val="000000"/>
              <w:sz w:val="28"/>
              <w:szCs w:val="28"/>
            </w:rPr>
            <w:t xml:space="preserve">Comissão </w:t>
          </w:r>
          <w:r>
            <w:rPr>
              <w:rFonts w:ascii="Tahoma" w:eastAsia="Tahoma" w:hAnsi="Tahoma" w:cs="Tahoma"/>
              <w:b/>
              <w:sz w:val="28"/>
              <w:szCs w:val="28"/>
            </w:rPr>
            <w:t>Permanente de Administração, Estatística e Servidores Públicos</w:t>
          </w:r>
        </w:p>
        <w:p w14:paraId="112926CD" w14:textId="77777777" w:rsidR="00CB23BA" w:rsidRDefault="00CB23BA">
          <w:pPr>
            <w:tabs>
              <w:tab w:val="center" w:pos="4252"/>
              <w:tab w:val="right" w:pos="8504"/>
            </w:tabs>
            <w:rPr>
              <w:color w:val="000000"/>
            </w:rPr>
          </w:pPr>
        </w:p>
      </w:tc>
    </w:tr>
  </w:tbl>
  <w:p w14:paraId="1EB4C248" w14:textId="77777777" w:rsidR="00CB23BA" w:rsidRDefault="00CB23BA">
    <w:pPr>
      <w:tabs>
        <w:tab w:val="center" w:pos="4252"/>
        <w:tab w:val="right" w:pos="8504"/>
      </w:tabs>
      <w:rPr>
        <w:color w:val="000000"/>
      </w:rPr>
    </w:pPr>
  </w:p>
  <w:p w14:paraId="178E0652" w14:textId="77777777" w:rsidR="00CB23BA" w:rsidRDefault="00CB23BA">
    <w:pPr>
      <w:tabs>
        <w:tab w:val="center" w:pos="4252"/>
        <w:tab w:val="right" w:pos="8504"/>
      </w:tabs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23BA"/>
    <w:rsid w:val="00004C4B"/>
    <w:rsid w:val="00097449"/>
    <w:rsid w:val="003167B3"/>
    <w:rsid w:val="00395795"/>
    <w:rsid w:val="004E3A5E"/>
    <w:rsid w:val="00822404"/>
    <w:rsid w:val="00867426"/>
    <w:rsid w:val="00AF57C8"/>
    <w:rsid w:val="00CB23BA"/>
    <w:rsid w:val="00E65EC1"/>
    <w:rsid w:val="00F0725C"/>
    <w:rsid w:val="00F40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F3D536"/>
  <w15:docId w15:val="{DFBD9E10-93FA-4655-996E-003DFA448A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1D9E"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Corpodetexto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CabealhoChar">
    <w:name w:val="Cabeçalho Char"/>
    <w:basedOn w:val="Fontepargpadro"/>
    <w:link w:val="Cabealho"/>
    <w:uiPriority w:val="99"/>
    <w:qFormat/>
    <w:rsid w:val="00471D9E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odapChar">
    <w:name w:val="Rodapé Char"/>
    <w:basedOn w:val="Fontepargpadro"/>
    <w:link w:val="Rodap"/>
    <w:uiPriority w:val="99"/>
    <w:qFormat/>
    <w:rsid w:val="002B5E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styleId="Cabealho">
    <w:name w:val="header"/>
    <w:basedOn w:val="Normal"/>
    <w:link w:val="CabealhoChar"/>
    <w:uiPriority w:val="99"/>
    <w:rsid w:val="00471D9E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rsid w:val="002B5E73"/>
    <w:pPr>
      <w:tabs>
        <w:tab w:val="center" w:pos="4252"/>
        <w:tab w:val="right" w:pos="8504"/>
      </w:tabs>
    </w:p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ormalWeb">
    <w:name w:val="Normal (Web)"/>
    <w:basedOn w:val="Normal"/>
    <w:uiPriority w:val="99"/>
    <w:unhideWhenUsed/>
    <w:qFormat/>
    <w:rsid w:val="009B655D"/>
    <w:pPr>
      <w:spacing w:beforeAutospacing="1" w:afterAutospacing="1"/>
    </w:p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">
    <w:basedOn w:val="TableNormal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x4pfeyYucCrt0/tsAdghsY8J8sg==">CgMxLjA4AHIhMVhNTDhRd1h4TmF6U0FlYWZiZ001QkFKNHRkMUVaRE5a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732</Words>
  <Characters>3959</Characters>
  <Application>Microsoft Office Word</Application>
  <DocSecurity>0</DocSecurity>
  <Lines>32</Lines>
  <Paragraphs>9</Paragraphs>
  <ScaleCrop>false</ScaleCrop>
  <Company/>
  <LinksUpToDate>false</LinksUpToDate>
  <CharactersWithSpaces>4682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Professor Tulio</dc:creator>
  <cp:lastModifiedBy>Raphael Girão</cp:lastModifiedBy>
  <cp:revision>6</cp:revision>
  <dcterms:created xsi:type="dcterms:W3CDTF">2025-12-10T16:00:00Z</dcterms:created>
  <dcterms:modified xsi:type="dcterms:W3CDTF">2026-05-07T11:27:00Z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lpwstr>0</vt:lpwstr>
  </property>
  <property fmtid="{D5CDD505-2E9C-101B-9397-08002B2CF9AE}" pid="4" name="HyperlinksChanged">
    <vt:lpwstr>false</vt:lpwstr>
  </property>
  <property fmtid="{D5CDD505-2E9C-101B-9397-08002B2CF9AE}" pid="5" name="LinksUpToDate">
    <vt:lpwstr>false</vt:lpwstr>
  </property>
  <property fmtid="{D5CDD505-2E9C-101B-9397-08002B2CF9AE}" pid="6" name="ScaleCrop">
    <vt:lpwstr>false</vt:lpwstr>
  </property>
  <property fmtid="{D5CDD505-2E9C-101B-9397-08002B2CF9AE}" pid="7" name="ShareDoc">
    <vt:lpwstr>false</vt:lpwstr>
  </property>
</Properties>
</file>