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3EC49687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="0039765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/ </w:t>
            </w:r>
            <w:proofErr w:type="gramStart"/>
            <w:r w:rsidR="0039765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CAES 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</w:t>
            </w:r>
            <w:proofErr w:type="gramEnd"/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338EAF31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3412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39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48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593AC300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9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MESA DIRETORA – CMN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3FB8457F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39765C" w:rsidRPr="0039765C">
              <w:rPr>
                <w:rFonts w:asciiTheme="minorHAnsi" w:hAnsiTheme="minorHAnsi" w:cstheme="minorHAnsi"/>
                <w:b/>
                <w:bCs/>
                <w:smallCaps/>
              </w:rPr>
              <w:t xml:space="preserve">Regulamenta a Gratificação por Risco de Vida no âmbito da Câmara Municipal de Niterói, estabelece critérios objetivos para sua concessão e dá outras </w:t>
            </w:r>
            <w:proofErr w:type="gramStart"/>
            <w:r w:rsidR="0039765C" w:rsidRPr="0039765C">
              <w:rPr>
                <w:rFonts w:asciiTheme="minorHAnsi" w:hAnsiTheme="minorHAnsi" w:cstheme="minorHAnsi"/>
                <w:b/>
                <w:bCs/>
                <w:smallCaps/>
              </w:rPr>
              <w:t>providências.</w:t>
            </w:r>
            <w:r w:rsidR="006B5E66" w:rsidRPr="006B5E66">
              <w:rPr>
                <w:rFonts w:asciiTheme="minorHAnsi" w:hAnsiTheme="minorHAnsi" w:cstheme="minorHAnsi"/>
                <w:b/>
                <w:bCs/>
                <w:smallCaps/>
              </w:rPr>
              <w:t>.</w:t>
            </w:r>
            <w:proofErr w:type="gramEnd"/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1CD96C4B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Trata-se do Projeto de Lei nº 00148/2026, de iniciativa da Mesa Diretora, que visa regulamentar a Gratificação por Risco de Vida prevista no art. 165 da Resolução nº 1.550/1987, estabelecendo critérios objetivos para sua concessão no âmbito da Câmara Municipal de Niterói.</w:t>
      </w:r>
    </w:p>
    <w:p w14:paraId="5C1C4A78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A proposição delimita hipóteses de incidência da vantagem, fixa percentuais conforme o grau de exposição ao risco, institui procedimento administrativo para concessão, prevê controle periódico e determina mecanismos de transparência.</w:t>
      </w:r>
    </w:p>
    <w:p w14:paraId="4461B389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Destaca-se que a iniciativa decorre de apontamentos formulados pelo Tribunal de Contas do Estado do Rio de Janeiro – TCE-RJ, nos autos do Processo nº 209.795-2/25, que identificou fragilidades na ausência de critérios objetivos para a concessão da referida gratificação </w:t>
      </w:r>
    </w:p>
    <w:p w14:paraId="35F4C1D3" w14:textId="73C4B17F" w:rsidR="00BF420B" w:rsidRPr="00503E1C" w:rsidRDefault="00BF420B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2E9134DA" w14:textId="77777777" w:rsidR="0039765C" w:rsidRPr="0039765C" w:rsidRDefault="0039765C" w:rsidP="0056039C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1. Competência e iniciativa</w:t>
      </w:r>
    </w:p>
    <w:p w14:paraId="13A55CC0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 matéria insere-se na esfera de autonomia administrativa e organizacional do Poder Legislativo, nos termos dos </w:t>
      </w:r>
      <w:proofErr w:type="spellStart"/>
      <w:r w:rsidRPr="0039765C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39765C">
        <w:rPr>
          <w:rFonts w:asciiTheme="minorHAnsi" w:hAnsiTheme="minorHAnsi" w:cstheme="minorHAnsi"/>
          <w:color w:val="000000"/>
          <w:sz w:val="22"/>
          <w:szCs w:val="22"/>
        </w:rPr>
        <w:t>. 18, 29 e 51, IV, da Constituição da República, sendo legítima a iniciativa da Mesa Diretora para dispor sobre regime jurídico e vantagens de seus servidores.</w:t>
      </w:r>
    </w:p>
    <w:p w14:paraId="49E3E527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No âmbito municipal, observa-se ainda a simetria com o art. 37 da Constituição Federal, que rege a Administração Pública, especialmente quanto aos princípios da legalidade, impessoalidade, moralidade, publicidade e eficiência.</w:t>
      </w:r>
    </w:p>
    <w:p w14:paraId="48B0AD47" w14:textId="77777777" w:rsidR="0039765C" w:rsidRPr="0039765C" w:rsidRDefault="0039765C" w:rsidP="0056039C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2. Adequação à legislação financeira e à Lei de Responsabilidade Fiscal</w:t>
      </w:r>
    </w:p>
    <w:p w14:paraId="3CF46252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Sob a ótica da Lei de Responsabilidade Fiscal, verifica-se que o projeto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não cria nova despesa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>, mas apenas regulamenta vantagem já prevista no ordenamento interno (art. 165 da Resolução nº 1.550/1987), conferindo-lhe critérios objetivos.</w:t>
      </w:r>
    </w:p>
    <w:p w14:paraId="066CC25A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Tal característica afasta, em regra, a incidência direta dos </w:t>
      </w:r>
      <w:proofErr w:type="spellStart"/>
      <w:r w:rsidRPr="0039765C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39765C">
        <w:rPr>
          <w:rFonts w:asciiTheme="minorHAnsi" w:hAnsiTheme="minorHAnsi" w:cstheme="minorHAnsi"/>
          <w:color w:val="000000"/>
          <w:sz w:val="22"/>
          <w:szCs w:val="22"/>
        </w:rPr>
        <w:t>. 16 e 17 da LRF, desde que não haja aumento real de despesa, mas apenas racionalização e controle de sua concessão — entendimento consolidado no âmbito dos Tribunais de Contas.</w:t>
      </w:r>
    </w:p>
    <w:p w14:paraId="1568B304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Ademais, o projeto:</w:t>
      </w:r>
    </w:p>
    <w:p w14:paraId="63C1DA0E" w14:textId="77777777" w:rsidR="0039765C" w:rsidRPr="0039765C" w:rsidRDefault="0039765C" w:rsidP="0039765C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estabelece critérios restritivos (atividade de risco efetivo e habitual); </w:t>
      </w:r>
    </w:p>
    <w:p w14:paraId="1ED72920" w14:textId="77777777" w:rsidR="0039765C" w:rsidRPr="0039765C" w:rsidRDefault="0039765C" w:rsidP="0039765C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veda concessão automática por cargo ou função; </w:t>
      </w:r>
    </w:p>
    <w:p w14:paraId="3F516287" w14:textId="77777777" w:rsidR="0039765C" w:rsidRPr="0039765C" w:rsidRDefault="0039765C" w:rsidP="0039765C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condiciona a concessão a procedimento administrativo formal; </w:t>
      </w:r>
    </w:p>
    <w:p w14:paraId="303DADD6" w14:textId="77777777" w:rsidR="0039765C" w:rsidRPr="0039765C" w:rsidRDefault="0039765C" w:rsidP="0039765C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prevê revisão periódica; </w:t>
      </w:r>
    </w:p>
    <w:p w14:paraId="4942A795" w14:textId="77777777" w:rsidR="0039765C" w:rsidRPr="0039765C" w:rsidRDefault="0039765C" w:rsidP="0039765C">
      <w:pPr>
        <w:pStyle w:val="Corpodetexto"/>
        <w:numPr>
          <w:ilvl w:val="0"/>
          <w:numId w:val="46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assegura transparência ativa. </w:t>
      </w:r>
    </w:p>
    <w:p w14:paraId="1D23EBDA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Tais elementos atendem às exigências de controle do gasto público e favorecem a previsibilidade orçamentária.</w:t>
      </w:r>
    </w:p>
    <w:p w14:paraId="641043D5" w14:textId="77777777" w:rsidR="0039765C" w:rsidRPr="0039765C" w:rsidRDefault="0039765C" w:rsidP="0056039C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3. Conformidade com a jurisprudência das Cortes de Contas</w:t>
      </w:r>
    </w:p>
    <w:p w14:paraId="5F073AF0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O projeto está alinhado às orientações reiteradas do Tribunal de Contas do Estado do Rio de Janeiro e do Tribunal de Contas da União, que exigem:</w:t>
      </w:r>
    </w:p>
    <w:p w14:paraId="336CECFE" w14:textId="77777777" w:rsidR="0039765C" w:rsidRPr="0039765C" w:rsidRDefault="0039765C" w:rsidP="0039765C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previsão legal específica para vantagens remuneratórias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74CCA403" w14:textId="77777777" w:rsidR="0039765C" w:rsidRPr="0039765C" w:rsidRDefault="0039765C" w:rsidP="0039765C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critérios objetivos e mensuráveis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para concessão; </w:t>
      </w:r>
    </w:p>
    <w:p w14:paraId="69BCFBD3" w14:textId="77777777" w:rsidR="0039765C" w:rsidRPr="0039765C" w:rsidRDefault="0039765C" w:rsidP="0039765C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vinculação à efetiva exposição ao risco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, vedando generalizações; </w:t>
      </w:r>
    </w:p>
    <w:p w14:paraId="1215CDDC" w14:textId="77777777" w:rsidR="0039765C" w:rsidRPr="0039765C" w:rsidRDefault="0039765C" w:rsidP="0039765C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motivação dos atos administrativos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69871C3A" w14:textId="77777777" w:rsidR="0039765C" w:rsidRPr="0039765C" w:rsidRDefault="0039765C" w:rsidP="0039765C">
      <w:pPr>
        <w:pStyle w:val="Corpodetexto"/>
        <w:numPr>
          <w:ilvl w:val="0"/>
          <w:numId w:val="4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controle e transparência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dos pagamentos. </w:t>
      </w:r>
    </w:p>
    <w:p w14:paraId="7F52DCD2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O próprio projeto decorre de recomendação expressa da Corte de Contas estadual para suprir lacuna normativa, o que reforça sua aderência ao controle externo </w:t>
      </w:r>
    </w:p>
    <w:p w14:paraId="24E1FB41" w14:textId="77777777" w:rsidR="0039765C" w:rsidRPr="0039765C" w:rsidRDefault="0039765C" w:rsidP="0056039C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4. Aspectos administrativos e de gestão de pessoal</w:t>
      </w:r>
    </w:p>
    <w:p w14:paraId="0C70A603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No âmbito da Comissão de Administração, destaca-se que a proposta:</w:t>
      </w:r>
    </w:p>
    <w:p w14:paraId="589D79CF" w14:textId="77777777" w:rsidR="0039765C" w:rsidRPr="0039765C" w:rsidRDefault="0039765C" w:rsidP="0039765C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aprimora a gestão de pessoal ao estabelecer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critérios técnicos de enquadramento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2C56E74C" w14:textId="77777777" w:rsidR="0039765C" w:rsidRPr="0039765C" w:rsidRDefault="0039765C" w:rsidP="0039765C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evita distorções remuneratórias e subjetividade administrativa; </w:t>
      </w:r>
    </w:p>
    <w:p w14:paraId="1CF41412" w14:textId="77777777" w:rsidR="0039765C" w:rsidRPr="0039765C" w:rsidRDefault="0039765C" w:rsidP="0039765C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fortalece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segurança jurídica dos servidores e da Administração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5AB2B8A0" w14:textId="77777777" w:rsidR="0039765C" w:rsidRPr="0039765C" w:rsidRDefault="0039765C" w:rsidP="0039765C">
      <w:pPr>
        <w:pStyle w:val="Corpodetexto"/>
        <w:numPr>
          <w:ilvl w:val="0"/>
          <w:numId w:val="48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institui fluxo procedimental claro (requerimento, validação da chefia, análise técnica e ato da Presidência). </w:t>
      </w:r>
    </w:p>
    <w:p w14:paraId="1561B3E9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A previsão de percentuais escalonados conforme o grau de risco está em consonância com boas práticas administrativas e com o princípio da razoabilidade.</w:t>
      </w:r>
    </w:p>
    <w:p w14:paraId="6F7A0494" w14:textId="77777777" w:rsidR="0039765C" w:rsidRPr="0039765C" w:rsidRDefault="0039765C" w:rsidP="0056039C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5. Princípios constitucionais da Administração Pública</w:t>
      </w:r>
    </w:p>
    <w:p w14:paraId="370E95FB" w14:textId="77777777" w:rsidR="0039765C" w:rsidRPr="0039765C" w:rsidRDefault="0039765C" w:rsidP="0039765C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A proposição concretiza os princípios do art. 37 da Constituição Federal ao:</w:t>
      </w:r>
    </w:p>
    <w:p w14:paraId="459C8D88" w14:textId="77777777" w:rsidR="0039765C" w:rsidRPr="0039765C" w:rsidRDefault="0039765C" w:rsidP="0039765C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reforçar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legalidade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(normatização detalhada); </w:t>
      </w:r>
    </w:p>
    <w:p w14:paraId="21EE81F6" w14:textId="77777777" w:rsidR="0039765C" w:rsidRPr="0039765C" w:rsidRDefault="0039765C" w:rsidP="0039765C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assegurar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impessoalidade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(critérios objetivos); </w:t>
      </w:r>
    </w:p>
    <w:p w14:paraId="55FC6EE4" w14:textId="77777777" w:rsidR="0039765C" w:rsidRPr="0039765C" w:rsidRDefault="0039765C" w:rsidP="0039765C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garantir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moralidade administrativa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(evita concessões arbitrárias); </w:t>
      </w:r>
    </w:p>
    <w:p w14:paraId="50370754" w14:textId="77777777" w:rsidR="0039765C" w:rsidRPr="0039765C" w:rsidRDefault="0039765C" w:rsidP="0039765C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ampliar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publicidade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(Portal da Transparência); </w:t>
      </w:r>
    </w:p>
    <w:p w14:paraId="6A210DEF" w14:textId="77777777" w:rsidR="0039765C" w:rsidRPr="0039765C" w:rsidRDefault="0039765C" w:rsidP="0039765C">
      <w:pPr>
        <w:pStyle w:val="Corpodetexto"/>
        <w:numPr>
          <w:ilvl w:val="0"/>
          <w:numId w:val="4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promover a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eficiência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(controle e revisão periódica).</w:t>
      </w:r>
    </w:p>
    <w:p w14:paraId="6C870AEA" w14:textId="5BDA4441" w:rsidR="006B1C02" w:rsidRPr="00503E1C" w:rsidRDefault="006B1C0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7183BC44" w14:textId="77777777" w:rsidR="0039765C" w:rsidRPr="0039765C" w:rsidRDefault="0039765C" w:rsidP="0039765C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Diante do exposto, no âmbito de suas competências regimentais, as:</w:t>
      </w:r>
    </w:p>
    <w:p w14:paraId="65DA660D" w14:textId="77777777" w:rsidR="0039765C" w:rsidRPr="0039765C" w:rsidRDefault="0039765C" w:rsidP="0039765C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Comissão Permanente de Fiscalização Financeira, Controle e Orçamento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, e </w:t>
      </w:r>
    </w:p>
    <w:p w14:paraId="0689E98D" w14:textId="77777777" w:rsidR="0039765C" w:rsidRPr="0039765C" w:rsidRDefault="0039765C" w:rsidP="0039765C">
      <w:pPr>
        <w:pStyle w:val="Corpodetexto"/>
        <w:numPr>
          <w:ilvl w:val="0"/>
          <w:numId w:val="5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Comissão Permanente de Administração, Servidores e Estatística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73D17E1E" w14:textId="77777777" w:rsidR="0039765C" w:rsidRPr="0039765C" w:rsidRDefault="0039765C" w:rsidP="0039765C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manifestam-se </w:t>
      </w:r>
      <w:r w:rsidRPr="0039765C">
        <w:rPr>
          <w:rFonts w:asciiTheme="minorHAnsi" w:hAnsiTheme="minorHAnsi" w:cstheme="minorHAnsi"/>
          <w:b/>
          <w:bCs/>
          <w:color w:val="000000"/>
          <w:sz w:val="22"/>
          <w:szCs w:val="22"/>
        </w:rPr>
        <w:t>FAVORAVELMENTE à aprovação do Projeto de Lei nº 00148/2026</w:t>
      </w:r>
      <w:r w:rsidRPr="0039765C">
        <w:rPr>
          <w:rFonts w:asciiTheme="minorHAnsi" w:hAnsiTheme="minorHAnsi" w:cstheme="minorHAnsi"/>
          <w:color w:val="000000"/>
          <w:sz w:val="22"/>
          <w:szCs w:val="22"/>
        </w:rPr>
        <w:t>, por entender que a matéria:</w:t>
      </w:r>
    </w:p>
    <w:p w14:paraId="46E03212" w14:textId="77777777" w:rsidR="0039765C" w:rsidRPr="0039765C" w:rsidRDefault="0039765C" w:rsidP="0039765C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está em conformidade com a Constituição Federal; </w:t>
      </w:r>
    </w:p>
    <w:p w14:paraId="21EDA90B" w14:textId="77777777" w:rsidR="0039765C" w:rsidRPr="0039765C" w:rsidRDefault="0039765C" w:rsidP="0039765C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atende às exigências da legislação fiscal; </w:t>
      </w:r>
    </w:p>
    <w:p w14:paraId="357ACFEE" w14:textId="77777777" w:rsidR="0039765C" w:rsidRPr="0039765C" w:rsidRDefault="0039765C" w:rsidP="0039765C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observa a jurisprudência das Cortes de Contas; </w:t>
      </w:r>
    </w:p>
    <w:p w14:paraId="4387BB7F" w14:textId="77777777" w:rsidR="0039765C" w:rsidRPr="0039765C" w:rsidRDefault="0039765C" w:rsidP="0039765C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 xml:space="preserve">aprimora a gestão administrativa e o controle do gasto público; </w:t>
      </w:r>
    </w:p>
    <w:p w14:paraId="4930CF67" w14:textId="77777777" w:rsidR="0039765C" w:rsidRPr="0039765C" w:rsidRDefault="0039765C" w:rsidP="0039765C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39765C">
        <w:rPr>
          <w:rFonts w:asciiTheme="minorHAnsi" w:hAnsiTheme="minorHAnsi" w:cstheme="minorHAnsi"/>
          <w:color w:val="000000"/>
          <w:sz w:val="22"/>
          <w:szCs w:val="22"/>
        </w:rPr>
        <w:t>corrige fragilidade normativa apontada pelo TCE-RJ.</w:t>
      </w:r>
    </w:p>
    <w:p w14:paraId="776C15F4" w14:textId="3D025356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7AA7DBA6" w14:textId="43812E7D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VOTO, portanto, PELA APROVAÇÃO do Projeto de Lei nº </w:t>
      </w:r>
      <w:r w:rsidR="00643EF6">
        <w:rPr>
          <w:rFonts w:asciiTheme="minorHAnsi" w:hAnsiTheme="minorHAnsi" w:cstheme="minorHAnsi"/>
          <w:b/>
          <w:bCs/>
          <w:color w:val="000000"/>
          <w:sz w:val="22"/>
          <w:szCs w:val="22"/>
        </w:rPr>
        <w:t>01</w:t>
      </w:r>
      <w:r w:rsidR="005603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47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/2026.</w:t>
      </w:r>
    </w:p>
    <w:p w14:paraId="35AE0AA2" w14:textId="3B1099FD" w:rsidR="006B5E66" w:rsidRPr="006B5E66" w:rsidRDefault="006B5E66" w:rsidP="006B5E66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CONCLUSÃO</w:t>
      </w:r>
    </w:p>
    <w:p w14:paraId="5E7FE129" w14:textId="1C3FA274" w:rsidR="00126B24" w:rsidRPr="00503E1C" w:rsidRDefault="00126B24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822D54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  <w:r w:rsidR="0056039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 – CFFCO</w:t>
            </w:r>
          </w:p>
          <w:p w14:paraId="15894729" w14:textId="2628FE94" w:rsidR="0056039C" w:rsidRPr="00503E1C" w:rsidRDefault="0056039C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VICE – CAES 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56F9A8F5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49BB323A" w14:textId="77777777" w:rsidR="0056039C" w:rsidRDefault="0056039C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48673D54" w14:textId="77777777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4BF0C22C" w14:textId="77777777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72F11C0D" w14:textId="77777777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4C6E3CE1" w14:textId="77777777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</w:p>
          <w:p w14:paraId="3D119884" w14:textId="26CE1E54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 w:rsidRPr="0056039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PROF. TÚLIO</w:t>
            </w:r>
            <w:r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                                               </w:t>
            </w:r>
            <w:r w:rsidRPr="0056039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EMANUEL ROCHA</w:t>
            </w:r>
          </w:p>
          <w:p w14:paraId="27BA4973" w14:textId="777FBAC5" w:rsidR="0056039C" w:rsidRDefault="0056039C" w:rsidP="0056039C">
            <w:pPr>
              <w:pStyle w:val="Corpodetexto"/>
              <w:spacing w:line="240" w:lineRule="auto"/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PRES. CAES                                                    MEMBRO CAES</w:t>
            </w:r>
          </w:p>
          <w:p w14:paraId="63A258A2" w14:textId="170F8BC7" w:rsidR="0056039C" w:rsidRPr="00503E1C" w:rsidRDefault="0056039C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5F0F" w14:textId="77777777" w:rsidR="002500B2" w:rsidRDefault="002500B2">
      <w:r>
        <w:separator/>
      </w:r>
    </w:p>
  </w:endnote>
  <w:endnote w:type="continuationSeparator" w:id="0">
    <w:p w14:paraId="18E7A625" w14:textId="77777777" w:rsidR="002500B2" w:rsidRDefault="0025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7100D" w14:textId="77777777" w:rsidR="002500B2" w:rsidRDefault="002500B2">
      <w:r>
        <w:separator/>
      </w:r>
    </w:p>
  </w:footnote>
  <w:footnote w:type="continuationSeparator" w:id="0">
    <w:p w14:paraId="44AA2BFD" w14:textId="77777777" w:rsidR="002500B2" w:rsidRDefault="0025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1B4E1C19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  <w:r w:rsidR="0039765C">
      <w:rPr>
        <w:rFonts w:ascii="Calibri" w:hAnsi="Calibri" w:cs="Calibri"/>
        <w:b/>
        <w:bCs/>
      </w:rPr>
      <w:t xml:space="preserve"> e COMISSÃO PERMANENTE DE ADMINISTRAÇÃO, ESTATITISTICA E SERVIDORES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E78E7"/>
    <w:multiLevelType w:val="multilevel"/>
    <w:tmpl w:val="FB6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147FF"/>
    <w:multiLevelType w:val="multilevel"/>
    <w:tmpl w:val="7D90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3A7531"/>
    <w:multiLevelType w:val="multilevel"/>
    <w:tmpl w:val="2E28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C4EE0"/>
    <w:multiLevelType w:val="multilevel"/>
    <w:tmpl w:val="35E4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3375FA"/>
    <w:multiLevelType w:val="multilevel"/>
    <w:tmpl w:val="ACBC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D53BF5"/>
    <w:multiLevelType w:val="multilevel"/>
    <w:tmpl w:val="B15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7434C3E"/>
    <w:multiLevelType w:val="multilevel"/>
    <w:tmpl w:val="35F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FB83B06"/>
    <w:multiLevelType w:val="multilevel"/>
    <w:tmpl w:val="2C286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4B7029"/>
    <w:multiLevelType w:val="multilevel"/>
    <w:tmpl w:val="2A82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54067A"/>
    <w:multiLevelType w:val="multilevel"/>
    <w:tmpl w:val="4B0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7F1632"/>
    <w:multiLevelType w:val="multilevel"/>
    <w:tmpl w:val="62C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A13AA8"/>
    <w:multiLevelType w:val="multilevel"/>
    <w:tmpl w:val="02BE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48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47"/>
    <w:lvlOverride w:ilvl="0">
      <w:startOverride w:val="1"/>
    </w:lvlOverride>
  </w:num>
  <w:num w:numId="2" w16cid:durableId="1954818871">
    <w:abstractNumId w:val="19"/>
  </w:num>
  <w:num w:numId="3" w16cid:durableId="1168128929">
    <w:abstractNumId w:val="1"/>
  </w:num>
  <w:num w:numId="4" w16cid:durableId="6757552">
    <w:abstractNumId w:val="17"/>
  </w:num>
  <w:num w:numId="5" w16cid:durableId="868646899">
    <w:abstractNumId w:val="33"/>
  </w:num>
  <w:num w:numId="6" w16cid:durableId="932317578">
    <w:abstractNumId w:val="39"/>
  </w:num>
  <w:num w:numId="7" w16cid:durableId="1335571030">
    <w:abstractNumId w:val="13"/>
  </w:num>
  <w:num w:numId="8" w16cid:durableId="2034384524">
    <w:abstractNumId w:val="38"/>
  </w:num>
  <w:num w:numId="9" w16cid:durableId="1894193981">
    <w:abstractNumId w:val="31"/>
  </w:num>
  <w:num w:numId="10" w16cid:durableId="1874343805">
    <w:abstractNumId w:val="18"/>
  </w:num>
  <w:num w:numId="11" w16cid:durableId="1594242660">
    <w:abstractNumId w:val="12"/>
  </w:num>
  <w:num w:numId="12" w16cid:durableId="339624392">
    <w:abstractNumId w:val="42"/>
  </w:num>
  <w:num w:numId="13" w16cid:durableId="1555462161">
    <w:abstractNumId w:val="34"/>
  </w:num>
  <w:num w:numId="14" w16cid:durableId="1129545389">
    <w:abstractNumId w:val="49"/>
  </w:num>
  <w:num w:numId="15" w16cid:durableId="623579353">
    <w:abstractNumId w:val="4"/>
  </w:num>
  <w:num w:numId="16" w16cid:durableId="1188913397">
    <w:abstractNumId w:val="3"/>
  </w:num>
  <w:num w:numId="17" w16cid:durableId="434835096">
    <w:abstractNumId w:val="35"/>
  </w:num>
  <w:num w:numId="18" w16cid:durableId="756555755">
    <w:abstractNumId w:val="10"/>
  </w:num>
  <w:num w:numId="19" w16cid:durableId="1197281664">
    <w:abstractNumId w:val="20"/>
  </w:num>
  <w:num w:numId="20" w16cid:durableId="1353801066">
    <w:abstractNumId w:val="26"/>
  </w:num>
  <w:num w:numId="21" w16cid:durableId="1551570257">
    <w:abstractNumId w:val="44"/>
  </w:num>
  <w:num w:numId="22" w16cid:durableId="2020883648">
    <w:abstractNumId w:val="23"/>
  </w:num>
  <w:num w:numId="23" w16cid:durableId="1171529419">
    <w:abstractNumId w:val="11"/>
  </w:num>
  <w:num w:numId="24" w16cid:durableId="325673274">
    <w:abstractNumId w:val="46"/>
  </w:num>
  <w:num w:numId="25" w16cid:durableId="730884091">
    <w:abstractNumId w:val="27"/>
  </w:num>
  <w:num w:numId="26" w16cid:durableId="1874422839">
    <w:abstractNumId w:val="7"/>
  </w:num>
  <w:num w:numId="27" w16cid:durableId="17508081">
    <w:abstractNumId w:val="16"/>
  </w:num>
  <w:num w:numId="28" w16cid:durableId="1951207119">
    <w:abstractNumId w:val="21"/>
  </w:num>
  <w:num w:numId="29" w16cid:durableId="16081821">
    <w:abstractNumId w:val="48"/>
  </w:num>
  <w:num w:numId="30" w16cid:durableId="1766726380">
    <w:abstractNumId w:val="32"/>
  </w:num>
  <w:num w:numId="31" w16cid:durableId="1853567280">
    <w:abstractNumId w:val="45"/>
  </w:num>
  <w:num w:numId="32" w16cid:durableId="1193029359">
    <w:abstractNumId w:val="0"/>
  </w:num>
  <w:num w:numId="33" w16cid:durableId="1294947486">
    <w:abstractNumId w:val="2"/>
  </w:num>
  <w:num w:numId="34" w16cid:durableId="17508645">
    <w:abstractNumId w:val="41"/>
  </w:num>
  <w:num w:numId="35" w16cid:durableId="934748885">
    <w:abstractNumId w:val="40"/>
  </w:num>
  <w:num w:numId="36" w16cid:durableId="591397990">
    <w:abstractNumId w:val="6"/>
  </w:num>
  <w:num w:numId="37" w16cid:durableId="2023893592">
    <w:abstractNumId w:val="50"/>
  </w:num>
  <w:num w:numId="38" w16cid:durableId="1557430182">
    <w:abstractNumId w:val="14"/>
  </w:num>
  <w:num w:numId="39" w16cid:durableId="1552955290">
    <w:abstractNumId w:val="28"/>
  </w:num>
  <w:num w:numId="40" w16cid:durableId="423190977">
    <w:abstractNumId w:val="5"/>
  </w:num>
  <w:num w:numId="41" w16cid:durableId="1737971749">
    <w:abstractNumId w:val="24"/>
  </w:num>
  <w:num w:numId="42" w16cid:durableId="2105421184">
    <w:abstractNumId w:val="36"/>
  </w:num>
  <w:num w:numId="43" w16cid:durableId="1120294833">
    <w:abstractNumId w:val="25"/>
  </w:num>
  <w:num w:numId="44" w16cid:durableId="811796060">
    <w:abstractNumId w:val="37"/>
  </w:num>
  <w:num w:numId="45" w16cid:durableId="439957461">
    <w:abstractNumId w:val="22"/>
  </w:num>
  <w:num w:numId="46" w16cid:durableId="1581712439">
    <w:abstractNumId w:val="30"/>
  </w:num>
  <w:num w:numId="47" w16cid:durableId="496115559">
    <w:abstractNumId w:val="29"/>
  </w:num>
  <w:num w:numId="48" w16cid:durableId="914437090">
    <w:abstractNumId w:val="15"/>
  </w:num>
  <w:num w:numId="49" w16cid:durableId="1638023106">
    <w:abstractNumId w:val="9"/>
  </w:num>
  <w:num w:numId="50" w16cid:durableId="648703940">
    <w:abstractNumId w:val="43"/>
  </w:num>
  <w:num w:numId="51" w16cid:durableId="9645816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500B2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10DF8"/>
    <w:rsid w:val="0032114E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9765C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039C"/>
    <w:rsid w:val="00564909"/>
    <w:rsid w:val="0057581F"/>
    <w:rsid w:val="00577F50"/>
    <w:rsid w:val="00590970"/>
    <w:rsid w:val="0059651F"/>
    <w:rsid w:val="005B4505"/>
    <w:rsid w:val="005E3180"/>
    <w:rsid w:val="005E56F1"/>
    <w:rsid w:val="005E7765"/>
    <w:rsid w:val="005F77C3"/>
    <w:rsid w:val="00623E13"/>
    <w:rsid w:val="006348E3"/>
    <w:rsid w:val="00643EF6"/>
    <w:rsid w:val="006518C5"/>
    <w:rsid w:val="00661F2F"/>
    <w:rsid w:val="00670ED9"/>
    <w:rsid w:val="006A1F93"/>
    <w:rsid w:val="006A6B5A"/>
    <w:rsid w:val="006B1C02"/>
    <w:rsid w:val="006B5E66"/>
    <w:rsid w:val="006D34F7"/>
    <w:rsid w:val="006D6FE0"/>
    <w:rsid w:val="006D7ECE"/>
    <w:rsid w:val="006E50AB"/>
    <w:rsid w:val="006F6FD2"/>
    <w:rsid w:val="007029BC"/>
    <w:rsid w:val="007030E6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1B8"/>
    <w:rsid w:val="009E1547"/>
    <w:rsid w:val="009E2B8E"/>
    <w:rsid w:val="009F3ECD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56AC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4</Pages>
  <Words>812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2026-05-06T17:53:00Z</cp:lastPrinted>
  <dcterms:created xsi:type="dcterms:W3CDTF">2026-05-06T18:26:00Z</dcterms:created>
  <dcterms:modified xsi:type="dcterms:W3CDTF">2026-05-06T18:26:00Z</dcterms:modified>
</cp:coreProperties>
</file>