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-2" w:firstLine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INDICAÇÃO Nº       /2026</w:t>
      </w:r>
    </w:p>
    <w:p w:rsidR="00000000" w:rsidDel="00000000" w:rsidP="00000000" w:rsidRDefault="00000000" w:rsidRPr="00000000" w14:paraId="00000002">
      <w:pPr>
        <w:ind w:left="-2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969" w:firstLine="0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Sugiro a intervenção nas calçadas da Av. Amaral Peixoto, Rua da Conceição e adjacentes, garantindo acessibilidade e preservação da memória urbana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4">
      <w:pPr>
        <w:spacing w:line="276" w:lineRule="auto"/>
        <w:ind w:left="0" w:right="-153" w:firstLine="567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Indico à Mesa Diretora na forma regimental, que seja enviado ofício ao Exmo. Prefeito Rodrigo Neves e à </w:t>
      </w:r>
      <w:r w:rsidDel="00000000" w:rsidR="00000000" w:rsidRPr="00000000">
        <w:rPr>
          <w:color w:val="2c2f34"/>
          <w:rtl w:val="0"/>
        </w:rPr>
        <w:t xml:space="preserve">Secretaria Municipal de Mobilidade e Infraestrutura - SEMOBI, à Coordenadoria de Acessibilidade - CODAC e à Empresa de Infraestrutura e Obras de Niterói - ION, </w:t>
      </w:r>
      <w:r w:rsidDel="00000000" w:rsidR="00000000" w:rsidRPr="00000000">
        <w:rPr>
          <w:rtl w:val="0"/>
        </w:rPr>
        <w:t xml:space="preserve">secretaria, coordenadoria e empresa responsáveis pelas obras </w:t>
      </w:r>
      <w:r w:rsidDel="00000000" w:rsidR="00000000" w:rsidRPr="00000000">
        <w:rPr>
          <w:color w:val="2c2f34"/>
          <w:highlight w:val="white"/>
          <w:rtl w:val="0"/>
        </w:rPr>
        <w:t xml:space="preserve">de revitalização do Reviver Centro, na Avenida Amaral Peixoto, Rua da Conceição e vias adjacentes, </w:t>
      </w:r>
      <w:r w:rsidDel="00000000" w:rsidR="00000000" w:rsidRPr="00000000">
        <w:rPr>
          <w:rtl w:val="0"/>
        </w:rPr>
        <w:t xml:space="preserve">a adoção de medidas conciliatórias com as necessidades de acessibilidade e o anseio da população pela preservação do patrimônio histórico e cultural representado, em parte, pelo seu calçamento em pedra portuguesa.</w:t>
      </w:r>
    </w:p>
    <w:p w:rsidR="00000000" w:rsidDel="00000000" w:rsidP="00000000" w:rsidRDefault="00000000" w:rsidRPr="00000000" w14:paraId="00000006">
      <w:pPr>
        <w:spacing w:line="276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left="0" w:hanging="2"/>
        <w:jc w:val="both"/>
        <w:rPr/>
      </w:pPr>
      <w:r w:rsidDel="00000000" w:rsidR="00000000" w:rsidRPr="00000000">
        <w:rPr>
          <w:rtl w:val="0"/>
        </w:rPr>
        <w:t xml:space="preserve">Para tal sugere-se a introdução de “quadros” ou “barras” nas novas calçadas preenchidos com pedra portuguesa, mantendo nessas “caixas” o desenho e material originais de modo a preservar, ainda que pontualmente, a memória das calçadas.</w:t>
      </w:r>
    </w:p>
    <w:p w:rsidR="00000000" w:rsidDel="00000000" w:rsidP="00000000" w:rsidRDefault="00000000" w:rsidRPr="00000000" w14:paraId="00000008">
      <w:pPr>
        <w:spacing w:line="276" w:lineRule="auto"/>
        <w:ind w:left="0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left="0" w:hanging="2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JUSTIFICATIVA</w:t>
      </w:r>
    </w:p>
    <w:p w:rsidR="00000000" w:rsidDel="00000000" w:rsidP="00000000" w:rsidRDefault="00000000" w:rsidRPr="00000000" w14:paraId="0000000A">
      <w:pPr>
        <w:pStyle w:val="Heading3"/>
        <w:spacing w:after="120" w:before="0" w:lineRule="auto"/>
        <w:ind w:left="0" w:hanging="2"/>
        <w:jc w:val="both"/>
        <w:rPr>
          <w:b w:val="0"/>
          <w:bCs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left="0" w:firstLine="720"/>
        <w:jc w:val="both"/>
        <w:rPr/>
      </w:pPr>
      <w:r w:rsidDel="00000000" w:rsidR="00000000" w:rsidRPr="00000000">
        <w:rPr>
          <w:rtl w:val="0"/>
        </w:rPr>
        <w:t xml:space="preserve">As vias Avenidas Amaral Peixoto, Rua da Conceição e transversais se constituem em logradouros centrais de Niterói, que concentram um patrimônio histórico e cultural significativo, representado, em parte, pelo seu calçamento em pedra portuguesa.</w:t>
      </w:r>
    </w:p>
    <w:p w:rsidR="00000000" w:rsidDel="00000000" w:rsidP="00000000" w:rsidRDefault="00000000" w:rsidRPr="00000000" w14:paraId="0000000C">
      <w:pPr>
        <w:spacing w:line="276" w:lineRule="auto"/>
        <w:ind w:left="0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left="0" w:firstLine="708"/>
        <w:jc w:val="both"/>
        <w:rPr/>
      </w:pPr>
      <w:r w:rsidDel="00000000" w:rsidR="00000000" w:rsidRPr="00000000">
        <w:rPr>
          <w:rtl w:val="0"/>
        </w:rPr>
        <w:t xml:space="preserve">A opção da administração municipal pela substituição do material por placas cimentadas, de qualidade duvidosa, haja visto seu estado em diversos outros locais onde já foi colocada, foi realizada sem consulta à população.</w:t>
      </w:r>
    </w:p>
    <w:p w:rsidR="00000000" w:rsidDel="00000000" w:rsidP="00000000" w:rsidRDefault="00000000" w:rsidRPr="00000000" w14:paraId="0000000E">
      <w:pPr>
        <w:spacing w:line="276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ind w:left="0" w:firstLine="708"/>
        <w:jc w:val="both"/>
        <w:rPr/>
      </w:pPr>
      <w:r w:rsidDel="00000000" w:rsidR="00000000" w:rsidRPr="00000000">
        <w:rPr>
          <w:rtl w:val="0"/>
        </w:rPr>
        <w:t xml:space="preserve">Paralelamente é </w:t>
      </w:r>
      <w:r w:rsidDel="00000000" w:rsidR="00000000" w:rsidRPr="00000000">
        <w:rPr>
          <w:rtl w:val="0"/>
        </w:rPr>
        <w:t xml:space="preserve">demanda em diferentes locais de diversos coletivos de pessoas com deficiência que compõem o COMPEDE, além de se constituir em um debate antigo na cidade, e em outras cidades do país, em acordo com a normativa que orienta a não colocação de pisos trepidantes, inclusive recomendação anexada à Lei Urbanística (Lei 3905/2024) por iniciativa de nosso mandato sobre rotas acessíveis, e a NBR9050. Calçamento com piso trepidante, como é o caso das pedras portuguesas, compromete os princípios de conforto, segurança e autonomia, sendo, portanto, caracterizado como não conforme com as indicações, ainda que o material seja admissível. </w:t>
      </w:r>
    </w:p>
    <w:p w:rsidR="00000000" w:rsidDel="00000000" w:rsidP="00000000" w:rsidRDefault="00000000" w:rsidRPr="00000000" w14:paraId="00000010">
      <w:pPr>
        <w:spacing w:line="276" w:lineRule="auto"/>
        <w:ind w:left="0" w:firstLine="708"/>
        <w:jc w:val="both"/>
        <w:rPr/>
      </w:pPr>
      <w:r w:rsidDel="00000000" w:rsidR="00000000" w:rsidRPr="00000000">
        <w:rPr>
          <w:rtl w:val="0"/>
        </w:rPr>
        <w:t xml:space="preserve">Por outro lado há uma demanda popular pela preservação da pedra portuguesa e seu desenho original que compõem a identidade visual e a memória do calçamento da Avenida Amaral Peixoto. De modo a conciliar a legislação sobre acessibilidade e essa demanda pelo memória histórica, vimos propor a introdução de “quadros” ou “barras” nas novas calçadas preenchidos com pedra portuguesa, mantendo nessas “caixas” o desenho e material originais de modo a preservar, ainda que pontualmente, a memória das calçadas.</w:t>
      </w:r>
    </w:p>
    <w:p w:rsidR="00000000" w:rsidDel="00000000" w:rsidP="00000000" w:rsidRDefault="00000000" w:rsidRPr="00000000" w14:paraId="00000011">
      <w:pPr>
        <w:spacing w:line="276" w:lineRule="auto"/>
        <w:ind w:left="0" w:firstLine="708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left="0" w:firstLine="708"/>
        <w:jc w:val="both"/>
        <w:rPr/>
      </w:pPr>
      <w:r w:rsidDel="00000000" w:rsidR="00000000" w:rsidRPr="00000000">
        <w:rPr>
          <w:rtl w:val="0"/>
        </w:rPr>
        <w:t xml:space="preserve">Tais "quadros" ou “barras” de pedra portuguesa e seu desenho original podem permanecer estrategicamente em algumas quadras ou demarcando pontos específicos, funcionando como marcos de preservação da memória urbana, garantindo que as futuras gerações possam conhecer o material e desenho originais daquelas vias, sem comprometer a acessibilidade do percurso.</w:t>
      </w:r>
    </w:p>
    <w:p w:rsidR="00000000" w:rsidDel="00000000" w:rsidP="00000000" w:rsidRDefault="00000000" w:rsidRPr="00000000" w14:paraId="00000013">
      <w:pPr>
        <w:spacing w:line="276" w:lineRule="auto"/>
        <w:ind w:left="0" w:firstLine="708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0" w:firstLine="708"/>
        <w:jc w:val="both"/>
        <w:rPr/>
      </w:pPr>
      <w:r w:rsidDel="00000000" w:rsidR="00000000" w:rsidRPr="00000000">
        <w:rPr>
          <w:rtl w:val="0"/>
        </w:rPr>
        <w:t xml:space="preserve">Estas medidas atenderão tanto à demanda social de inclusão quanto ao dever constitucional de preservação do patrimônio cultural e histórico de Niterói.</w:t>
      </w:r>
    </w:p>
    <w:p w:rsidR="00000000" w:rsidDel="00000000" w:rsidP="00000000" w:rsidRDefault="00000000" w:rsidRPr="00000000" w14:paraId="00000015">
      <w:pPr>
        <w:spacing w:line="276" w:lineRule="auto"/>
        <w:ind w:left="-2" w:right="-153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-2" w:right="-153" w:firstLine="0"/>
        <w:jc w:val="right"/>
        <w:rPr/>
      </w:pPr>
      <w:bookmarkStart w:colFirst="0" w:colLast="0" w:name="_heading=h.b3mx98lfagql" w:id="0"/>
      <w:bookmarkEnd w:id="0"/>
      <w:r w:rsidDel="00000000" w:rsidR="00000000" w:rsidRPr="00000000">
        <w:rPr>
          <w:rtl w:val="0"/>
        </w:rPr>
        <w:t xml:space="preserve">Plenário Brígido Tinoco, 30 de abril de 2026</w:t>
      </w:r>
    </w:p>
    <w:p w:rsidR="00000000" w:rsidDel="00000000" w:rsidP="00000000" w:rsidRDefault="00000000" w:rsidRPr="00000000" w14:paraId="00000017">
      <w:pPr>
        <w:ind w:left="0" w:right="-43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-2" w:firstLine="0"/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719" w:top="719" w:left="1701" w:right="1286" w:header="567" w:footer="17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222222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222222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222222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222222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222222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270.0" w:type="dxa"/>
      <w:jc w:val="left"/>
      <w:tblInd w:w="2.0" w:type="dxa"/>
      <w:tblLayout w:type="fixed"/>
      <w:tblLook w:val="0400"/>
    </w:tblPr>
    <w:tblGrid>
      <w:gridCol w:w="1738"/>
      <w:gridCol w:w="7532"/>
      <w:tblGridChange w:id="0">
        <w:tblGrid>
          <w:gridCol w:w="1738"/>
          <w:gridCol w:w="7532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D">
          <w:pPr>
            <w:tabs>
              <w:tab w:val="center" w:leader="none" w:pos="4513"/>
              <w:tab w:val="right" w:leader="none" w:pos="9026"/>
            </w:tabs>
            <w:spacing w:line="240" w:lineRule="auto"/>
            <w:ind w:left="0" w:hanging="2"/>
            <w:rPr>
              <w:rFonts w:ascii="Tahoma" w:cs="Tahoma" w:eastAsia="Tahoma" w:hAnsi="Tahoma"/>
              <w:color w:val="000000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716915</wp:posOffset>
                </wp:positionH>
                <wp:positionV relativeFrom="paragraph">
                  <wp:posOffset>9525</wp:posOffset>
                </wp:positionV>
                <wp:extent cx="828675" cy="101854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1E">
          <w:pPr>
            <w:tabs>
              <w:tab w:val="center" w:leader="none" w:pos="4513"/>
              <w:tab w:val="right" w:leader="none" w:pos="9026"/>
            </w:tabs>
            <w:spacing w:line="240" w:lineRule="auto"/>
            <w:ind w:left="0" w:hanging="2"/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tabs>
              <w:tab w:val="left" w:leader="none" w:pos="675"/>
              <w:tab w:val="center" w:leader="none" w:pos="4513"/>
              <w:tab w:val="right" w:leader="none" w:pos="9026"/>
            </w:tabs>
            <w:spacing w:line="240" w:lineRule="auto"/>
            <w:ind w:left="2" w:hanging="4"/>
            <w:jc w:val="center"/>
            <w:rPr>
              <w:b w:val="1"/>
              <w:bCs w:val="1"/>
              <w:color w:val="000000"/>
              <w:sz w:val="44"/>
              <w:szCs w:val="44"/>
            </w:rPr>
          </w:pPr>
          <w:r w:rsidDel="00000000" w:rsidR="00000000" w:rsidRPr="00000000">
            <w:rPr>
              <w:b w:val="1"/>
              <w:bCs w:val="1"/>
              <w:color w:val="000000"/>
              <w:sz w:val="44"/>
              <w:szCs w:val="44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0">
          <w:pPr>
            <w:tabs>
              <w:tab w:val="center" w:leader="none" w:pos="4513"/>
              <w:tab w:val="right" w:leader="none" w:pos="9026"/>
            </w:tabs>
            <w:spacing w:line="240" w:lineRule="auto"/>
            <w:ind w:left="1" w:hanging="3"/>
            <w:jc w:val="center"/>
            <w:rPr>
              <w:b w:val="1"/>
              <w:bCs w:val="1"/>
              <w:color w:val="000000"/>
              <w:sz w:val="28"/>
              <w:szCs w:val="28"/>
            </w:rPr>
          </w:pPr>
          <w:r w:rsidDel="00000000" w:rsidR="00000000" w:rsidRPr="00000000">
            <w:rPr>
              <w:b w:val="1"/>
              <w:bCs w:val="1"/>
              <w:color w:val="000000"/>
              <w:sz w:val="28"/>
              <w:szCs w:val="28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21">
          <w:pPr>
            <w:tabs>
              <w:tab w:val="center" w:leader="none" w:pos="4513"/>
              <w:tab w:val="right" w:leader="none" w:pos="9026"/>
            </w:tabs>
            <w:spacing w:line="240" w:lineRule="auto"/>
            <w:ind w:left="0" w:hanging="2"/>
            <w:jc w:val="center"/>
            <w:rPr>
              <w:rFonts w:ascii="Tahoma" w:cs="Tahoma" w:eastAsia="Tahoma" w:hAnsi="Tahoma"/>
              <w:b w:val="1"/>
              <w:bCs w:val="1"/>
              <w:color w:val="000000"/>
              <w:sz w:val="32"/>
              <w:szCs w:val="32"/>
            </w:rPr>
          </w:pPr>
          <w:r w:rsidDel="00000000" w:rsidR="00000000" w:rsidRPr="00000000">
            <w:rPr>
              <w:b w:val="1"/>
              <w:bCs w:val="1"/>
              <w:color w:val="000000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222222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222222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color w:val="222222"/>
        <w:sz w:val="24"/>
        <w:szCs w:val="24"/>
        <w:lang w:val="pt_BR"/>
      </w:rPr>
    </w:rPrDefault>
    <w:pPrDefault>
      <w:pPr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rFonts w:ascii="Times New Roman" w:cs="Times New Roman" w:eastAsia="Times New Roman" w:hAnsi="Times New Roman"/>
      <w:b w:val="1"/>
      <w:bCs w:val="1"/>
      <w:color w:val="000000"/>
      <w:sz w:val="30"/>
      <w:szCs w:val="3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p5fW6B9iCVh1+sth7HLZwFi5Yg==">CgMxLjAyDmguYjNteDk4bGZhZ3FsOAByITFma2NQM21sUU9nN1VKOGYtUTZyUGZWRy1UMUhuWkJfVA==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