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PROJETO DE LEI Nº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dvp5yaan7rq3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Instituí a Política Municipal de Atendimento às Pessoas com Altas Habilidades/Superdotação (AH/SD), com o objetivo de garantir a identificação precoce, o atendimento especializado e o desenvolvimento pleno de suas potencialidades no Município de Niterói.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</w:rPr>
      </w:pPr>
      <w:bookmarkStart w:colFirst="0" w:colLast="0" w:name="_heading=h.u80miph76f43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hgc4ae4wxikb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1º Fica instituída a Política Municipal de Atendimento às Pessoas com Altas Habilidades/Superdotação (AH/SD), com o objetivo de garantir a identificação precoce, o atendimento especializado e o desenvolvimento pleno de suas potencialidades no Município de Niterói.</w:t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hr77evu39l4a" w:id="3"/>
      <w:bookmarkEnd w:id="3"/>
      <w:r w:rsidDel="00000000" w:rsidR="00000000" w:rsidRPr="00000000">
        <w:rPr>
          <w:rFonts w:ascii="Arial" w:cs="Arial" w:eastAsia="Arial" w:hAnsi="Arial"/>
          <w:rtl w:val="0"/>
        </w:rPr>
        <w:t xml:space="preserve">Parágrafo único. Considera-se pessoa com Altas Habilidades/Superdotação aquela que apresenta potencial elevado nas áreas intelectual, acadêmica, liderança, psicomotricidade, artes ou criatividade, de forma isolada ou combinada, conforme disposto na legislação educacional vigente.</w:t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6sbtr5547wd5" w:id="4"/>
      <w:bookmarkEnd w:id="4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2º São objetivos da Política Municipal:</w:t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qgc3oa97ahyn" w:id="5"/>
      <w:bookmarkEnd w:id="5"/>
      <w:r w:rsidDel="00000000" w:rsidR="00000000" w:rsidRPr="00000000">
        <w:rPr>
          <w:rFonts w:ascii="Arial" w:cs="Arial" w:eastAsia="Arial" w:hAnsi="Arial"/>
          <w:rtl w:val="0"/>
        </w:rPr>
        <w:t xml:space="preserve">I – identificar precocemente crianças, adolescentes e jovens com indicadores de AH/SD;</w:t>
        <w:br w:type="textWrapping"/>
        <w:t xml:space="preserve">II – garantir atendimento educacional especializado, preferencialmente na rede regular de ensino;</w:t>
        <w:br w:type="textWrapping"/>
        <w:t xml:space="preserve">III – promover o desenvolvimento integral dos talentos e habilidades;</w:t>
        <w:br w:type="textWrapping"/>
        <w:t xml:space="preserve">IV – capacitar profissionais das áreas de educação, saúde e assistência social;</w:t>
        <w:br w:type="textWrapping"/>
        <w:t xml:space="preserve">V – assegurar apoio psicossocial às famílias;</w:t>
        <w:br w:type="textWrapping"/>
        <w:t xml:space="preserve">VI – fomentar a inclusão social, cultural e emocional.</w:t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9c248e8gfme5" w:id="6"/>
      <w:bookmarkEnd w:id="6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3º São diretrizes da Política:</w:t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3yrwmfz2hkqm" w:id="7"/>
      <w:bookmarkEnd w:id="7"/>
      <w:r w:rsidDel="00000000" w:rsidR="00000000" w:rsidRPr="00000000">
        <w:rPr>
          <w:rFonts w:ascii="Arial" w:cs="Arial" w:eastAsia="Arial" w:hAnsi="Arial"/>
          <w:rtl w:val="0"/>
        </w:rPr>
        <w:t xml:space="preserve">I – educação inclusiva, conforme as diretrizes da educação especial na perspectiva inclusiva;</w:t>
        <w:br w:type="textWrapping"/>
        <w:t xml:space="preserve">II – atendimento educacional especializado com enriquecimento curricular;</w:t>
        <w:br w:type="textWrapping"/>
        <w:t xml:space="preserve">III – atuação intersetorial entre educação, saúde, assistência social e cultura;</w:t>
        <w:br w:type="textWrapping"/>
        <w:t xml:space="preserve">IV – formação continuada de profissionais;</w:t>
        <w:br w:type="textWrapping"/>
        <w:t xml:space="preserve">V – promoção da saúde mental e prevenção de sofrimento psíquico;</w:t>
        <w:br w:type="textWrapping"/>
        <w:t xml:space="preserve">VI – garantia de equidade no acesso aos serviços públicos.</w:t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2wyho8ccr4yx" w:id="8"/>
      <w:bookmarkEnd w:id="8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4º O Poder Executivo poderá instituir os Núcleos Municipais de Apoio às Altas Habilidades/Superdotação, vinculados à Secretaria Municipal de Educação, com atuação intersetorial.</w:t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3yrwmfz2hkqm" w:id="7"/>
      <w:bookmarkEnd w:id="7"/>
      <w:r w:rsidDel="00000000" w:rsidR="00000000" w:rsidRPr="00000000">
        <w:rPr>
          <w:rFonts w:ascii="Arial" w:cs="Arial" w:eastAsia="Arial" w:hAnsi="Arial"/>
          <w:rtl w:val="0"/>
        </w:rPr>
        <w:t xml:space="preserve">§1º Os Núcleos poderão ser distribuídos por regiões administrativas do município, considerando a organização territorial de Niterói.</w:t>
        <w:br w:type="textWrapping"/>
        <w:t xml:space="preserve"> §2º Os Núcleos terão como finalidade oferecer atendimento educacional, apoio psicossocial e atividades de desenvolvimento de talentos.</w:t>
      </w:r>
    </w:p>
    <w:p w:rsidR="00000000" w:rsidDel="00000000" w:rsidP="00000000" w:rsidRDefault="00000000" w:rsidRPr="00000000" w14:paraId="00000010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5l8ovcrz5hhs" w:id="9"/>
      <w:bookmarkEnd w:id="9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5º Os Núcleos poderão contar com:</w:t>
      </w:r>
    </w:p>
    <w:p w:rsidR="00000000" w:rsidDel="00000000" w:rsidP="00000000" w:rsidRDefault="00000000" w:rsidRPr="00000000" w14:paraId="00000011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dlp8ffb6yds6" w:id="10"/>
      <w:bookmarkEnd w:id="10"/>
      <w:r w:rsidDel="00000000" w:rsidR="00000000" w:rsidRPr="00000000">
        <w:rPr>
          <w:rFonts w:ascii="Arial" w:cs="Arial" w:eastAsia="Arial" w:hAnsi="Arial"/>
          <w:rtl w:val="0"/>
        </w:rPr>
        <w:t xml:space="preserve">I – equipe multidisciplinar;</w:t>
        <w:br w:type="textWrapping"/>
        <w:t xml:space="preserve">II – atendimento individual e em grupo;</w:t>
        <w:br w:type="textWrapping"/>
        <w:t xml:space="preserve">III – oficinas de enriquecimento curricular, ciência, tecnologia, artes e inovação;</w:t>
        <w:br w:type="textWrapping"/>
        <w:t xml:space="preserve">IV – orientação e apoio às famílias;</w:t>
        <w:br w:type="textWrapping"/>
        <w:t xml:space="preserve">V – articulação com escolas da rede pública e privada.</w:t>
      </w:r>
    </w:p>
    <w:p w:rsidR="00000000" w:rsidDel="00000000" w:rsidP="00000000" w:rsidRDefault="00000000" w:rsidRPr="00000000" w14:paraId="00000012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jnljzczbvcr6" w:id="11"/>
      <w:bookmarkEnd w:id="1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6º O Município poderá firmar convênios com:</w:t>
      </w:r>
    </w:p>
    <w:p w:rsidR="00000000" w:rsidDel="00000000" w:rsidP="00000000" w:rsidRDefault="00000000" w:rsidRPr="00000000" w14:paraId="00000013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dlp8ffb6yds6" w:id="10"/>
      <w:bookmarkEnd w:id="10"/>
      <w:r w:rsidDel="00000000" w:rsidR="00000000" w:rsidRPr="00000000">
        <w:rPr>
          <w:rFonts w:ascii="Arial" w:cs="Arial" w:eastAsia="Arial" w:hAnsi="Arial"/>
          <w:rtl w:val="0"/>
        </w:rPr>
        <w:t xml:space="preserve">I – universidades públicas e privadas;</w:t>
        <w:br w:type="textWrapping"/>
        <w:t xml:space="preserve">II – centros de pesquisa;</w:t>
        <w:br w:type="textWrapping"/>
        <w:t xml:space="preserve">III – organizações da sociedade civil;</w:t>
        <w:br w:type="textWrapping"/>
        <w:t xml:space="preserve">IV – instituições especializadas.</w:t>
      </w:r>
    </w:p>
    <w:p w:rsidR="00000000" w:rsidDel="00000000" w:rsidP="00000000" w:rsidRDefault="00000000" w:rsidRPr="00000000" w14:paraId="00000014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lp1850qwqgqz" w:id="12"/>
      <w:bookmarkEnd w:id="12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7º O Município manterá cadastro atualizado dos estudantes com AH/SD, observando a legislação de proteção de dados pessoais.</w:t>
      </w:r>
    </w:p>
    <w:p w:rsidR="00000000" w:rsidDel="00000000" w:rsidP="00000000" w:rsidRDefault="00000000" w:rsidRPr="00000000" w14:paraId="00000015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9kn12s43g363" w:id="13"/>
      <w:bookmarkEnd w:id="13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8º O Poder Executivo poderá instituir programas de incentivo, bolsas, feiras científicas, culturais e tecnológicas voltadas ao desenvolvimento de talentos.</w:t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13a9j63dy36u" w:id="14"/>
      <w:bookmarkEnd w:id="14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9º Será assegurada prioridade no transporte escolar para estudantes atendidos pelos Núcleos, quando necessário.</w:t>
      </w:r>
    </w:p>
    <w:p w:rsidR="00000000" w:rsidDel="00000000" w:rsidP="00000000" w:rsidRDefault="00000000" w:rsidRPr="00000000" w14:paraId="00000017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iu3gk40jpug" w:id="15"/>
      <w:bookmarkEnd w:id="15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10º  Os Núcleos promoverão reuniões periódicas com famílias, visando orientação, escuta qualificada e fortalecimento do vínculo familiar.</w:t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5yc8e0tcm88s" w:id="16"/>
      <w:bookmarkEnd w:id="16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11º  As ações previstas nesta Lei deverão ser incorporadas aos instrumentos de planejamento orçamentário do Município.</w:t>
      </w:r>
    </w:p>
    <w:p w:rsidR="00000000" w:rsidDel="00000000" w:rsidP="00000000" w:rsidRDefault="00000000" w:rsidRPr="00000000" w14:paraId="00000019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88uzrs3b7iu4" w:id="17"/>
      <w:bookmarkEnd w:id="17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12º  O Poder Executivo poderá instituir canais de escuta e denúncia de negligência, preconceito ou violação de direitos relacionados às AH/SD.</w:t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mokkjfjf9b6g" w:id="18"/>
      <w:bookmarkEnd w:id="18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13º  Esta Lei poderá ser regulamentada por decreto.</w:t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line="360" w:lineRule="auto"/>
        <w:jc w:val="both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t6vbezj2k78w" w:id="19"/>
      <w:bookmarkEnd w:id="19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Art. 14º  Esta Lei entra em vigor na data de sua publicação.</w:t>
      </w:r>
    </w:p>
    <w:p w:rsidR="00000000" w:rsidDel="00000000" w:rsidP="00000000" w:rsidRDefault="00000000" w:rsidRPr="00000000" w14:paraId="0000001C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right"/>
        <w:rPr>
          <w:rFonts w:ascii="Arial" w:cs="Arial" w:eastAsia="Arial" w:hAnsi="Arial"/>
        </w:rPr>
      </w:pPr>
      <w:bookmarkStart w:colFirst="0" w:colLast="0" w:name="_heading=h.nkx08crbxatp" w:id="20"/>
      <w:bookmarkEnd w:id="20"/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Plenário Brígido Tinoco, </w:t>
      </w:r>
      <w:r w:rsidDel="00000000" w:rsidR="00000000" w:rsidRPr="00000000">
        <w:rPr>
          <w:rFonts w:ascii="Arial" w:cs="Arial" w:eastAsia="Arial" w:hAnsi="Arial"/>
          <w:rtl w:val="0"/>
        </w:rPr>
        <w:t xml:space="preserve">16 de abril de 2026. </w:t>
      </w:r>
    </w:p>
    <w:p w:rsidR="00000000" w:rsidDel="00000000" w:rsidP="00000000" w:rsidRDefault="00000000" w:rsidRPr="00000000" w14:paraId="00000020">
      <w:pPr>
        <w:jc w:val="righ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righ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Professor Tulio</w:t>
      </w:r>
    </w:p>
    <w:p w:rsidR="00000000" w:rsidDel="00000000" w:rsidP="00000000" w:rsidRDefault="00000000" w:rsidRPr="00000000" w14:paraId="00000025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z6aetcscbdv3" w:id="21"/>
      <w:bookmarkEnd w:id="21"/>
      <w:r w:rsidDel="00000000" w:rsidR="00000000" w:rsidRPr="00000000">
        <w:rPr>
          <w:rFonts w:ascii="Arial" w:cs="Arial" w:eastAsia="Arial" w:hAnsi="Arial"/>
          <w:rtl w:val="0"/>
        </w:rPr>
        <w:t xml:space="preserve">A presente proposta tem como objetivo instituir, no Município de Niterói, uma política pública estruturada de atendimento às pessoas com Altas Habilidades/Superdotação (AH/SD), enfrentando uma lacuna histórica nas políticas educacionais e de inclusão que, ao invisibilizar esse público, acaba por reproduzir desigualdades e desperdiçar potencial humano. Trata-se de reconhecer que a educação inclusiva não se limita ao atendimento das deficiências, mas abrange também aqueles sujeitos cujas capacidades excepcionais, quando não acolhidas pelo poder público, resultam em exclusão, sofrimento psíquico e desengajamento escolar.</w:t>
      </w:r>
    </w:p>
    <w:p w:rsidR="00000000" w:rsidDel="00000000" w:rsidP="00000000" w:rsidRDefault="00000000" w:rsidRPr="00000000" w14:paraId="0000002D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z6aetcscbdv3" w:id="21"/>
      <w:bookmarkEnd w:id="21"/>
      <w:r w:rsidDel="00000000" w:rsidR="00000000" w:rsidRPr="00000000">
        <w:rPr>
          <w:rFonts w:ascii="Arial" w:cs="Arial" w:eastAsia="Arial" w:hAnsi="Arial"/>
          <w:rtl w:val="0"/>
        </w:rPr>
        <w:t xml:space="preserve">A Constituição Federal de 1988 estabelece, em seus artigos 205 e 208, que a educação é um direito de todos e dever do Estado, devendo ser garantido o atendimento educacional especializado aos educandos com necessidades específicas, preferencialmente na rede regular de ensino. A Lei de Diretrizes e Bases da Educação Nacional (Lei nº 9.394/1996) inclui expressamente as pessoas com altas habilidades/superdotação no público da educação especial, reafirmando a obrigação do poder público de assegurar condições adequadas para o desenvolvimento pleno de suas potencialidades. No mesmo sentido, a Lei Brasileira de Inclusão (Lei nº 13.146/2015) consolida o paradigma da inclusão, impondo ao Estado o dever de eliminar barreiras e promover acessibilidade em todas as dimensões da vida social, inclusive no campo educacional.</w:t>
      </w:r>
    </w:p>
    <w:p w:rsidR="00000000" w:rsidDel="00000000" w:rsidP="00000000" w:rsidRDefault="00000000" w:rsidRPr="00000000" w14:paraId="0000002E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z6aetcscbdv3" w:id="21"/>
      <w:bookmarkEnd w:id="21"/>
      <w:r w:rsidDel="00000000" w:rsidR="00000000" w:rsidRPr="00000000">
        <w:rPr>
          <w:rFonts w:ascii="Arial" w:cs="Arial" w:eastAsia="Arial" w:hAnsi="Arial"/>
          <w:rtl w:val="0"/>
        </w:rPr>
        <w:t xml:space="preserve">Sob a perspectiva de uma política pública comprometida com a equidade, é fundamental compreender que tratar igualmente os desiguais apenas aprofunda injustiças. Crianças e jovens com altas habilidades/superdotação frequentemente enfrentam um sistema educacional que não reconhece suas especificidades, resultando em desmotivação, evasão, sofrimento emocional e, não raramente, medicalização indevida. A ausência de identificação precoce e de atendimento adequado evidencia uma omissão estatal que precisa ser superada com políticas públicas concretas, estruturadas e intersetoriais.</w:t>
      </w:r>
    </w:p>
    <w:p w:rsidR="00000000" w:rsidDel="00000000" w:rsidP="00000000" w:rsidRDefault="00000000" w:rsidRPr="00000000" w14:paraId="0000002F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z6aetcscbdv3" w:id="21"/>
      <w:bookmarkEnd w:id="21"/>
      <w:r w:rsidDel="00000000" w:rsidR="00000000" w:rsidRPr="00000000">
        <w:rPr>
          <w:rFonts w:ascii="Arial" w:cs="Arial" w:eastAsia="Arial" w:hAnsi="Arial"/>
          <w:rtl w:val="0"/>
        </w:rPr>
        <w:t xml:space="preserve">Nesse sentido, a proposta se ancora também nas diretrizes da Política Nacional de Educação Especial na Perspectiva da Educação Inclusiva, que orienta a oferta do atendimento educacional especializado com vistas ao enriquecimento curricular, ao desenvolvimento de talentos e à garantia de permanência e sucesso escolar. Trata-se de afirmar o direito à diferença como elemento constitutivo de uma sociedade democrática, combatendo a lógica padronizadora que exclui aqueles que fogem à média.</w:t>
      </w:r>
    </w:p>
    <w:p w:rsidR="00000000" w:rsidDel="00000000" w:rsidP="00000000" w:rsidRDefault="00000000" w:rsidRPr="00000000" w14:paraId="00000030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z6aetcscbdv3" w:id="21"/>
      <w:bookmarkEnd w:id="21"/>
      <w:r w:rsidDel="00000000" w:rsidR="00000000" w:rsidRPr="00000000">
        <w:rPr>
          <w:rFonts w:ascii="Arial" w:cs="Arial" w:eastAsia="Arial" w:hAnsi="Arial"/>
          <w:rtl w:val="0"/>
        </w:rPr>
        <w:t xml:space="preserve">No âmbito estadual, a Constituição do Estado do Rio de Janeiro reforça o dever do poder público de assegurar educação inclusiva e de qualidade, enquanto, no plano local, o Município de Niterói possui histórico de protagonismo na implementação de políticas públicas inovadoras nas áreas de educação, direitos humanos e inclusão social. A presente iniciativa dialoga com essa tradição, propondo o fortalecimento da rede municipal por meio da criação de Núcleos de Apoio às Altas Habilidades/Superdotação, com atuação intersetorial e territorializada.</w:t>
      </w:r>
    </w:p>
    <w:p w:rsidR="00000000" w:rsidDel="00000000" w:rsidP="00000000" w:rsidRDefault="00000000" w:rsidRPr="00000000" w14:paraId="00000031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z6aetcscbdv3" w:id="21"/>
      <w:bookmarkEnd w:id="21"/>
      <w:r w:rsidDel="00000000" w:rsidR="00000000" w:rsidRPr="00000000">
        <w:rPr>
          <w:rFonts w:ascii="Arial" w:cs="Arial" w:eastAsia="Arial" w:hAnsi="Arial"/>
          <w:rtl w:val="0"/>
        </w:rPr>
        <w:t xml:space="preserve">A experiência recente do Município de Maricá, que institui política semelhante por meio da Lei nº 3.718/2026, demonstra a viabilidade e a urgência da medida, reforçando a necessidade de que Niterói avance na mesma direção, garantindo que nenhum talento seja negligenciado por ausência de políticas públicas. Investir no desenvolvimento de pessoas com altas habilidades não é privilégio, mas estratégia de justiça social e de desenvolvimento coletivo, na medida em que amplia as possibilidades de inovação, produção de conhecimento e transformação social.</w:t>
      </w:r>
    </w:p>
    <w:p w:rsidR="00000000" w:rsidDel="00000000" w:rsidP="00000000" w:rsidRDefault="00000000" w:rsidRPr="00000000" w14:paraId="00000032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z6aetcscbdv3" w:id="21"/>
      <w:bookmarkEnd w:id="21"/>
      <w:r w:rsidDel="00000000" w:rsidR="00000000" w:rsidRPr="00000000">
        <w:rPr>
          <w:rFonts w:ascii="Arial" w:cs="Arial" w:eastAsia="Arial" w:hAnsi="Arial"/>
          <w:rtl w:val="0"/>
        </w:rPr>
        <w:t xml:space="preserve">Além disso, a proposta reafirma o papel do Estado como indutor de políticas públicas comprometidas com o bem comum, promovendo articulação entre educação, saúde, assistência social e cultura, bem como parcerias com universidades e instituições de pesquisa. Ao assegurar apoio às famílias, formação continuada de profissionais e criação de espaços adequados para o desenvolvimento de talentos, o Município avança na construção de uma cidade mais inclusiva, democrática e socialmente justa.</w:t>
      </w:r>
    </w:p>
    <w:p w:rsidR="00000000" w:rsidDel="00000000" w:rsidP="00000000" w:rsidRDefault="00000000" w:rsidRPr="00000000" w14:paraId="00000033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z6aetcscbdv3" w:id="21"/>
      <w:bookmarkEnd w:id="21"/>
      <w:r w:rsidDel="00000000" w:rsidR="00000000" w:rsidRPr="00000000">
        <w:rPr>
          <w:rFonts w:ascii="Arial" w:cs="Arial" w:eastAsia="Arial" w:hAnsi="Arial"/>
          <w:rtl w:val="0"/>
        </w:rPr>
        <w:t xml:space="preserve">Diante do exposto, a presente proposição não apenas cumpre os mandamentos constitucionais e legais, mas também se alinha a um projeto de sociedade que valoriza a diversidade, combate desigualdades estruturais e reconhece o potencial humano como patrimônio coletivo. Trata-se, portanto, de medida de relevante interesse público, que contribui para a construção de uma Niterói mais justa, inclusiva e comprometida com o desenvolvimento integral de todas as pessoas.</w:t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bookmarkStart w:colFirst="0" w:colLast="0" w:name="_heading=h.ln2r2dm29dnu" w:id="22"/>
          <w:bookmarkEnd w:id="22"/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-387349</wp:posOffset>
                </wp:positionH>
                <wp:positionV relativeFrom="paragraph">
                  <wp:posOffset>9525</wp:posOffset>
                </wp:positionV>
                <wp:extent cx="828675" cy="101854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Professor Tulio</w:t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4OZ1H/VgtvIKT1jzYUJ1hUwQBg==">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