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2880" w:firstLine="0"/>
        <w:jc w:val="both"/>
        <w:rPr>
          <w:rFonts w:ascii="Arial" w:cs="Arial" w:eastAsia="Arial" w:hAnsi="Arial"/>
          <w:b w:val="1"/>
          <w:bCs w:val="1"/>
        </w:rPr>
      </w:pPr>
      <w:r w:rsidDel="00000000" w:rsidR="00000000" w:rsidRPr="00000000">
        <w:rPr>
          <w:rFonts w:ascii="Arial" w:cs="Arial" w:eastAsia="Arial" w:hAnsi="Arial"/>
          <w:b w:val="1"/>
          <w:bCs w:val="1"/>
          <w:rtl w:val="0"/>
        </w:rPr>
        <w:t xml:space="preserve">INSTITUI O PROTOCOLO MUNICIPAL DE PREVENÇÃO E ATENDIMENTO EMERGENCIAL A ESTUDANTES COM ALERGIAS ALIMENTARES E RISCO DE ANAFILAXIA NAS UNIDADES DE ENSINO PÚBLICAS E PRIVADAS DO MUNICÍPIO DE NITERÓI, E DÁ OUTRAS PROVIDÊNCIAS.</w:t>
      </w:r>
    </w:p>
    <w:p w:rsidR="00000000" w:rsidDel="00000000" w:rsidP="00000000" w:rsidRDefault="00000000" w:rsidRPr="00000000" w14:paraId="00000002">
      <w:pPr>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03">
      <w:pPr>
        <w:jc w:val="both"/>
        <w:rPr>
          <w:rFonts w:ascii="Arial" w:cs="Arial" w:eastAsia="Arial" w:hAnsi="Arial"/>
        </w:rPr>
      </w:pPr>
      <w:r w:rsidDel="00000000" w:rsidR="00000000" w:rsidRPr="00000000">
        <w:rPr>
          <w:rtl w:val="0"/>
        </w:rPr>
      </w:r>
    </w:p>
    <w:p w:rsidR="00000000" w:rsidDel="00000000" w:rsidP="00000000" w:rsidRDefault="00000000" w:rsidRPr="00000000" w14:paraId="00000004">
      <w:pPr>
        <w:jc w:val="both"/>
        <w:rPr>
          <w:rFonts w:ascii="Arial" w:cs="Arial" w:eastAsia="Arial" w:hAnsi="Arial"/>
        </w:rPr>
      </w:pPr>
      <w:r w:rsidDel="00000000" w:rsidR="00000000" w:rsidRPr="00000000">
        <w:rPr>
          <w:rFonts w:ascii="Arial" w:cs="Arial" w:eastAsia="Arial" w:hAnsi="Arial"/>
          <w:b w:val="1"/>
          <w:bCs w:val="1"/>
          <w:rtl w:val="0"/>
        </w:rPr>
        <w:t xml:space="preserve">Art. 1º</w:t>
      </w:r>
      <w:r w:rsidDel="00000000" w:rsidR="00000000" w:rsidRPr="00000000">
        <w:rPr>
          <w:rFonts w:ascii="Arial" w:cs="Arial" w:eastAsia="Arial" w:hAnsi="Arial"/>
          <w:rtl w:val="0"/>
        </w:rPr>
        <w:t xml:space="preserve"> Fica instituído o Protocolo Municipal de Prevenção e Atendimento Emergencial a Estudantes com Alergias Alimentares, com o objetivo de garantir proteção à vida, prevenção de crises alérgicas e resposta imediata em casos de emergência no ambiente escolar.</w:t>
      </w:r>
    </w:p>
    <w:p w:rsidR="00000000" w:rsidDel="00000000" w:rsidP="00000000" w:rsidRDefault="00000000" w:rsidRPr="00000000" w14:paraId="00000005">
      <w:pPr>
        <w:jc w:val="both"/>
        <w:rPr>
          <w:rFonts w:ascii="Arial" w:cs="Arial" w:eastAsia="Arial" w:hAnsi="Arial"/>
        </w:rPr>
      </w:pPr>
      <w:r w:rsidDel="00000000" w:rsidR="00000000" w:rsidRPr="00000000">
        <w:rPr>
          <w:rFonts w:ascii="Arial" w:cs="Arial" w:eastAsia="Arial" w:hAnsi="Arial"/>
          <w:b w:val="1"/>
          <w:bCs w:val="1"/>
          <w:rtl w:val="0"/>
        </w:rPr>
        <w:t xml:space="preserve">Art. 2º</w:t>
      </w:r>
      <w:r w:rsidDel="00000000" w:rsidR="00000000" w:rsidRPr="00000000">
        <w:rPr>
          <w:rFonts w:ascii="Arial" w:cs="Arial" w:eastAsia="Arial" w:hAnsi="Arial"/>
          <w:rtl w:val="0"/>
        </w:rPr>
        <w:t xml:space="preserve"> As unidades de ensino públicas e privadas deverão adotar medidas preventivas e protocolos de atendimento para estudantes diagnosticados com alergias alimentares ou outras condições que possam desencadear reações graves, incluindo risco de anafilaxia.</w:t>
      </w:r>
    </w:p>
    <w:p w:rsidR="00000000" w:rsidDel="00000000" w:rsidP="00000000" w:rsidRDefault="00000000" w:rsidRPr="00000000" w14:paraId="00000006">
      <w:pPr>
        <w:jc w:val="both"/>
        <w:rPr>
          <w:rFonts w:ascii="Arial" w:cs="Arial" w:eastAsia="Arial" w:hAnsi="Arial"/>
        </w:rPr>
      </w:pPr>
      <w:r w:rsidDel="00000000" w:rsidR="00000000" w:rsidRPr="00000000">
        <w:rPr>
          <w:rFonts w:ascii="Arial" w:cs="Arial" w:eastAsia="Arial" w:hAnsi="Arial"/>
          <w:b w:val="1"/>
          <w:bCs w:val="1"/>
          <w:rtl w:val="0"/>
        </w:rPr>
        <w:t xml:space="preserve">Art. 3º </w:t>
      </w:r>
      <w:r w:rsidDel="00000000" w:rsidR="00000000" w:rsidRPr="00000000">
        <w:rPr>
          <w:rFonts w:ascii="Arial" w:cs="Arial" w:eastAsia="Arial" w:hAnsi="Arial"/>
          <w:rtl w:val="0"/>
        </w:rPr>
        <w:t xml:space="preserve">Para fins desta Lei, consideram-se reações alérgicas graves aquelas que possam evoluir rapidamente para comprometimento respiratório, circulatório ou sistêmico, exigindo intervenção médica imediata.</w:t>
      </w:r>
    </w:p>
    <w:p w:rsidR="00000000" w:rsidDel="00000000" w:rsidP="00000000" w:rsidRDefault="00000000" w:rsidRPr="00000000" w14:paraId="00000007">
      <w:pPr>
        <w:jc w:val="both"/>
        <w:rPr>
          <w:rFonts w:ascii="Arial" w:cs="Arial" w:eastAsia="Arial" w:hAnsi="Arial"/>
        </w:rPr>
      </w:pPr>
      <w:r w:rsidDel="00000000" w:rsidR="00000000" w:rsidRPr="00000000">
        <w:rPr>
          <w:rFonts w:ascii="Arial" w:cs="Arial" w:eastAsia="Arial" w:hAnsi="Arial"/>
          <w:b w:val="1"/>
          <w:bCs w:val="1"/>
          <w:rtl w:val="0"/>
        </w:rPr>
        <w:t xml:space="preserve">Art. 4º </w:t>
      </w:r>
      <w:r w:rsidDel="00000000" w:rsidR="00000000" w:rsidRPr="00000000">
        <w:rPr>
          <w:rFonts w:ascii="Arial" w:cs="Arial" w:eastAsia="Arial" w:hAnsi="Arial"/>
          <w:rtl w:val="0"/>
        </w:rPr>
        <w:t xml:space="preserve">As instituições de ensino deverão manter registro atualizado de estudantes com diagnóstico de alergias alimentares ou outras alergias graves, mediante apresentação de laudo médico.</w:t>
      </w:r>
    </w:p>
    <w:p w:rsidR="00000000" w:rsidDel="00000000" w:rsidP="00000000" w:rsidRDefault="00000000" w:rsidRPr="00000000" w14:paraId="00000008">
      <w:pPr>
        <w:jc w:val="both"/>
        <w:rPr>
          <w:rFonts w:ascii="Arial" w:cs="Arial" w:eastAsia="Arial" w:hAnsi="Arial"/>
        </w:rPr>
      </w:pPr>
      <w:r w:rsidDel="00000000" w:rsidR="00000000" w:rsidRPr="00000000">
        <w:rPr>
          <w:rFonts w:ascii="Arial" w:cs="Arial" w:eastAsia="Arial" w:hAnsi="Arial"/>
          <w:b w:val="1"/>
          <w:bCs w:val="1"/>
          <w:rtl w:val="0"/>
        </w:rPr>
        <w:t xml:space="preserve">Art. 5º</w:t>
      </w:r>
      <w:r w:rsidDel="00000000" w:rsidR="00000000" w:rsidRPr="00000000">
        <w:rPr>
          <w:rFonts w:ascii="Arial" w:cs="Arial" w:eastAsia="Arial" w:hAnsi="Arial"/>
          <w:rtl w:val="0"/>
        </w:rPr>
        <w:t xml:space="preserve"> As unidades de ensino deverão permitir que o estudante porte consigo seu kit de emergência, incluindo medicações prescritas e dispositivos autoinjetáveis de adrenalina, quando houver prescrição médica.</w:t>
      </w:r>
    </w:p>
    <w:p w:rsidR="00000000" w:rsidDel="00000000" w:rsidP="00000000" w:rsidRDefault="00000000" w:rsidRPr="00000000" w14:paraId="00000009">
      <w:pPr>
        <w:jc w:val="both"/>
        <w:rPr>
          <w:rFonts w:ascii="Arial" w:cs="Arial" w:eastAsia="Arial" w:hAnsi="Arial"/>
        </w:rPr>
      </w:pPr>
      <w:r w:rsidDel="00000000" w:rsidR="00000000" w:rsidRPr="00000000">
        <w:rPr>
          <w:rFonts w:ascii="Arial" w:cs="Arial" w:eastAsia="Arial" w:hAnsi="Arial"/>
          <w:b w:val="1"/>
          <w:bCs w:val="1"/>
          <w:rtl w:val="0"/>
        </w:rPr>
        <w:t xml:space="preserve">Art. 6º </w:t>
      </w:r>
      <w:r w:rsidDel="00000000" w:rsidR="00000000" w:rsidRPr="00000000">
        <w:rPr>
          <w:rFonts w:ascii="Arial" w:cs="Arial" w:eastAsia="Arial" w:hAnsi="Arial"/>
          <w:rtl w:val="0"/>
        </w:rPr>
        <w:t xml:space="preserve">Na ocorrência de sintomas compatíveis com reação alérgica grave deverão ser adotadas imediatamente as medidas emergenciais cabíveis para preservação da vida do estudante, inclusive acionamento do Serviço de Atendimento Móvel de Urgência (SAMU) e prestação de primeiros socorros.</w:t>
      </w:r>
    </w:p>
    <w:p w:rsidR="00000000" w:rsidDel="00000000" w:rsidP="00000000" w:rsidRDefault="00000000" w:rsidRPr="00000000" w14:paraId="0000000A">
      <w:pPr>
        <w:jc w:val="both"/>
        <w:rPr>
          <w:rFonts w:ascii="Arial" w:cs="Arial" w:eastAsia="Arial" w:hAnsi="Arial"/>
        </w:rPr>
      </w:pPr>
      <w:r w:rsidDel="00000000" w:rsidR="00000000" w:rsidRPr="00000000">
        <w:rPr>
          <w:rFonts w:ascii="Arial" w:cs="Arial" w:eastAsia="Arial" w:hAnsi="Arial"/>
          <w:b w:val="1"/>
          <w:bCs w:val="1"/>
          <w:rtl w:val="0"/>
        </w:rPr>
        <w:t xml:space="preserve">Art. 7º </w:t>
      </w:r>
      <w:r w:rsidDel="00000000" w:rsidR="00000000" w:rsidRPr="00000000">
        <w:rPr>
          <w:rFonts w:ascii="Arial" w:cs="Arial" w:eastAsia="Arial" w:hAnsi="Arial"/>
          <w:rtl w:val="0"/>
        </w:rPr>
        <w:t xml:space="preserve">As unidades escolares deverão dispor de estrutura mínima de atendimento inicial, como espaço destinado a primeiros cuidados de saúde ou enfermaria escolar, bem como profissional capacitado para atendimento emergencial.</w:t>
      </w:r>
    </w:p>
    <w:p w:rsidR="00000000" w:rsidDel="00000000" w:rsidP="00000000" w:rsidRDefault="00000000" w:rsidRPr="00000000" w14:paraId="0000000B">
      <w:pPr>
        <w:jc w:val="both"/>
        <w:rPr>
          <w:rFonts w:ascii="Arial" w:cs="Arial" w:eastAsia="Arial" w:hAnsi="Arial"/>
        </w:rPr>
      </w:pPr>
      <w:r w:rsidDel="00000000" w:rsidR="00000000" w:rsidRPr="00000000">
        <w:rPr>
          <w:rFonts w:ascii="Arial" w:cs="Arial" w:eastAsia="Arial" w:hAnsi="Arial"/>
          <w:b w:val="1"/>
          <w:bCs w:val="1"/>
          <w:rtl w:val="0"/>
        </w:rPr>
        <w:t xml:space="preserve">Art. 8º</w:t>
      </w:r>
      <w:r w:rsidDel="00000000" w:rsidR="00000000" w:rsidRPr="00000000">
        <w:rPr>
          <w:rFonts w:ascii="Arial" w:cs="Arial" w:eastAsia="Arial" w:hAnsi="Arial"/>
          <w:rtl w:val="0"/>
        </w:rPr>
        <w:t xml:space="preserve"> Na confirmação ou suspeita de reação alérgica grave o profissional responsável poderá realizar encaminhamento imediato do estudante à unidade de saúde ou hospital mais próximo.</w:t>
      </w:r>
    </w:p>
    <w:p w:rsidR="00000000" w:rsidDel="00000000" w:rsidP="00000000" w:rsidRDefault="00000000" w:rsidRPr="00000000" w14:paraId="0000000C">
      <w:pPr>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0D">
      <w:pPr>
        <w:jc w:val="both"/>
        <w:rPr>
          <w:rFonts w:ascii="Arial" w:cs="Arial" w:eastAsia="Arial" w:hAnsi="Arial"/>
        </w:rPr>
      </w:pPr>
      <w:r w:rsidDel="00000000" w:rsidR="00000000" w:rsidRPr="00000000">
        <w:rPr>
          <w:rFonts w:ascii="Arial" w:cs="Arial" w:eastAsia="Arial" w:hAnsi="Arial"/>
          <w:b w:val="1"/>
          <w:bCs w:val="1"/>
          <w:rtl w:val="0"/>
        </w:rPr>
        <w:t xml:space="preserve">Art. 9º</w:t>
      </w:r>
      <w:r w:rsidDel="00000000" w:rsidR="00000000" w:rsidRPr="00000000">
        <w:rPr>
          <w:rFonts w:ascii="Arial" w:cs="Arial" w:eastAsia="Arial" w:hAnsi="Arial"/>
          <w:rtl w:val="0"/>
        </w:rPr>
        <w:t xml:space="preserve"> O encaminhamento previsto deverá ser acompanhado de comunicação imediata aos pais ou responsáveis legais do estudante, sendo a autorização para esse fim formalizada no ato da matrícula ou rematrícula.</w:t>
      </w:r>
    </w:p>
    <w:p w:rsidR="00000000" w:rsidDel="00000000" w:rsidP="00000000" w:rsidRDefault="00000000" w:rsidRPr="00000000" w14:paraId="0000000E">
      <w:pPr>
        <w:jc w:val="both"/>
        <w:rPr>
          <w:rFonts w:ascii="Arial" w:cs="Arial" w:eastAsia="Arial" w:hAnsi="Arial"/>
        </w:rPr>
      </w:pPr>
      <w:r w:rsidDel="00000000" w:rsidR="00000000" w:rsidRPr="00000000">
        <w:rPr>
          <w:rFonts w:ascii="Arial" w:cs="Arial" w:eastAsia="Arial" w:hAnsi="Arial"/>
          <w:b w:val="1"/>
          <w:bCs w:val="1"/>
          <w:rtl w:val="0"/>
        </w:rPr>
        <w:t xml:space="preserve">Art. 10. </w:t>
      </w:r>
      <w:r w:rsidDel="00000000" w:rsidR="00000000" w:rsidRPr="00000000">
        <w:rPr>
          <w:rFonts w:ascii="Arial" w:cs="Arial" w:eastAsia="Arial" w:hAnsi="Arial"/>
          <w:rtl w:val="0"/>
        </w:rPr>
        <w:t xml:space="preserve">O Poder Executivo poderá promover programas de capacitação de profissionais da educação e campanhas educativas sobre prevenção e manejo de alergias alimentares.</w:t>
      </w:r>
    </w:p>
    <w:p w:rsidR="00000000" w:rsidDel="00000000" w:rsidP="00000000" w:rsidRDefault="00000000" w:rsidRPr="00000000" w14:paraId="0000000F">
      <w:pPr>
        <w:jc w:val="both"/>
        <w:rPr>
          <w:rFonts w:ascii="Arial" w:cs="Arial" w:eastAsia="Arial" w:hAnsi="Arial"/>
        </w:rPr>
      </w:pPr>
      <w:r w:rsidDel="00000000" w:rsidR="00000000" w:rsidRPr="00000000">
        <w:rPr>
          <w:rFonts w:ascii="Arial" w:cs="Arial" w:eastAsia="Arial" w:hAnsi="Arial"/>
          <w:b w:val="1"/>
          <w:bCs w:val="1"/>
          <w:rtl w:val="0"/>
        </w:rPr>
        <w:t xml:space="preserve">Art. 11.</w:t>
      </w:r>
      <w:r w:rsidDel="00000000" w:rsidR="00000000" w:rsidRPr="00000000">
        <w:rPr>
          <w:rFonts w:ascii="Arial" w:cs="Arial" w:eastAsia="Arial" w:hAnsi="Arial"/>
          <w:rtl w:val="0"/>
        </w:rPr>
        <w:t xml:space="preserve"> O protocolo instituído por esta Lei não se confunde com as disposições previstas na Lei Lucas (Lei nº 13.722/2018), que trata da capacitação em noções básicas de primeiros socorros.</w:t>
      </w:r>
    </w:p>
    <w:p w:rsidR="00000000" w:rsidDel="00000000" w:rsidP="00000000" w:rsidRDefault="00000000" w:rsidRPr="00000000" w14:paraId="00000010">
      <w:pPr>
        <w:jc w:val="both"/>
        <w:rPr>
          <w:rFonts w:ascii="Arial" w:cs="Arial" w:eastAsia="Arial" w:hAnsi="Arial"/>
        </w:rPr>
      </w:pPr>
      <w:r w:rsidDel="00000000" w:rsidR="00000000" w:rsidRPr="00000000">
        <w:rPr>
          <w:rFonts w:ascii="Arial" w:cs="Arial" w:eastAsia="Arial" w:hAnsi="Arial"/>
          <w:b w:val="1"/>
          <w:bCs w:val="1"/>
          <w:rtl w:val="0"/>
        </w:rPr>
        <w:t xml:space="preserve">Parágrafo único.</w:t>
      </w:r>
      <w:r w:rsidDel="00000000" w:rsidR="00000000" w:rsidRPr="00000000">
        <w:rPr>
          <w:rFonts w:ascii="Arial" w:cs="Arial" w:eastAsia="Arial" w:hAnsi="Arial"/>
          <w:rtl w:val="0"/>
        </w:rPr>
        <w:t xml:space="preserve"> Para fins desta Lei, considera-se necessário o treinamento específico para reconhecimento e manejo de reações alérgicas graves, incluindo sinais e sintomas de Anafilaxia, bem como a adoção de medidas emergenciais adequadas, inclusive uso de dispositivos autoinjetáveis de adrenalina quando houver prescrição médica.</w:t>
      </w:r>
    </w:p>
    <w:p w:rsidR="00000000" w:rsidDel="00000000" w:rsidP="00000000" w:rsidRDefault="00000000" w:rsidRPr="00000000" w14:paraId="00000011">
      <w:pPr>
        <w:jc w:val="both"/>
        <w:rPr>
          <w:rFonts w:ascii="Arial" w:cs="Arial" w:eastAsia="Arial" w:hAnsi="Arial"/>
        </w:rPr>
      </w:pPr>
      <w:r w:rsidDel="00000000" w:rsidR="00000000" w:rsidRPr="00000000">
        <w:rPr>
          <w:rFonts w:ascii="Arial" w:cs="Arial" w:eastAsia="Arial" w:hAnsi="Arial"/>
          <w:b w:val="1"/>
          <w:bCs w:val="1"/>
          <w:rtl w:val="0"/>
        </w:rPr>
        <w:t xml:space="preserve">Art. 12.</w:t>
      </w:r>
      <w:r w:rsidDel="00000000" w:rsidR="00000000" w:rsidRPr="00000000">
        <w:rPr>
          <w:rFonts w:ascii="Arial" w:cs="Arial" w:eastAsia="Arial" w:hAnsi="Arial"/>
          <w:rtl w:val="0"/>
        </w:rPr>
        <w:t xml:space="preserve"> Esta Lei poderá ser regulamentada pelo Poder Executivo no que couber.</w:t>
      </w:r>
    </w:p>
    <w:p w:rsidR="00000000" w:rsidDel="00000000" w:rsidP="00000000" w:rsidRDefault="00000000" w:rsidRPr="00000000" w14:paraId="00000012">
      <w:pPr>
        <w:jc w:val="both"/>
        <w:rPr>
          <w:rFonts w:ascii="Arial" w:cs="Arial" w:eastAsia="Arial" w:hAnsi="Arial"/>
        </w:rPr>
      </w:pPr>
      <w:r w:rsidDel="00000000" w:rsidR="00000000" w:rsidRPr="00000000">
        <w:rPr>
          <w:rFonts w:ascii="Arial" w:cs="Arial" w:eastAsia="Arial" w:hAnsi="Arial"/>
          <w:b w:val="1"/>
          <w:bCs w:val="1"/>
          <w:rtl w:val="0"/>
        </w:rPr>
        <w:t xml:space="preserve">Art. 13.</w:t>
      </w:r>
      <w:r w:rsidDel="00000000" w:rsidR="00000000" w:rsidRPr="00000000">
        <w:rPr>
          <w:rFonts w:ascii="Arial" w:cs="Arial" w:eastAsia="Arial" w:hAnsi="Arial"/>
          <w:rtl w:val="0"/>
        </w:rPr>
        <w:t xml:space="preserve"> Esta Lei entra em vigor na data de sua publicação.</w:t>
      </w:r>
    </w:p>
    <w:p w:rsidR="00000000" w:rsidDel="00000000" w:rsidP="00000000" w:rsidRDefault="00000000" w:rsidRPr="00000000" w14:paraId="00000013">
      <w:pPr>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14">
      <w:pPr>
        <w:jc w:val="both"/>
        <w:rPr>
          <w:rFonts w:ascii="Arial" w:cs="Arial" w:eastAsia="Arial" w:hAnsi="Arial"/>
          <w:b w:val="1"/>
          <w:bCs w:val="1"/>
        </w:rPr>
      </w:pPr>
      <w:r w:rsidDel="00000000" w:rsidR="00000000" w:rsidRPr="00000000">
        <w:rPr>
          <w:rFonts w:ascii="Arial" w:cs="Arial" w:eastAsia="Arial" w:hAnsi="Arial"/>
          <w:b w:val="1"/>
          <w:bCs w:val="1"/>
          <w:rtl w:val="0"/>
        </w:rPr>
        <w:t xml:space="preserve">JUSTIFICATIVA</w:t>
      </w:r>
    </w:p>
    <w:p w:rsidR="00000000" w:rsidDel="00000000" w:rsidP="00000000" w:rsidRDefault="00000000" w:rsidRPr="00000000" w14:paraId="00000015">
      <w:pPr>
        <w:ind w:firstLine="720"/>
        <w:jc w:val="both"/>
        <w:rPr>
          <w:rFonts w:ascii="Arial" w:cs="Arial" w:eastAsia="Arial" w:hAnsi="Arial"/>
        </w:rPr>
      </w:pPr>
      <w:r w:rsidDel="00000000" w:rsidR="00000000" w:rsidRPr="00000000">
        <w:rPr>
          <w:rFonts w:ascii="Arial" w:cs="Arial" w:eastAsia="Arial" w:hAnsi="Arial"/>
          <w:rtl w:val="0"/>
        </w:rPr>
        <w:t xml:space="preserve">As alergias alimentares constituem um problema crescente de saúde pública, podendo desencadear reações graves e potencialmente fatais. Entre essas reações destaca-se a anafilaxia, caracterizada por resposta sistêmica grave do sistema imunológico que pode evoluir rapidamente para comprometimento respiratório, colapso circulatório e morte se não tratada de forma imediata. No ambiente escolar, crianças com alergias alimentares encontram-se em situação de maior vulnerabilidade, pois permanecem parte significativa do dia sob a responsabilidade das instituições de ensino.</w:t>
      </w:r>
    </w:p>
    <w:p w:rsidR="00000000" w:rsidDel="00000000" w:rsidP="00000000" w:rsidRDefault="00000000" w:rsidRPr="00000000" w14:paraId="00000016">
      <w:pPr>
        <w:ind w:firstLine="720"/>
        <w:jc w:val="both"/>
        <w:rPr>
          <w:rFonts w:ascii="Arial" w:cs="Arial" w:eastAsia="Arial" w:hAnsi="Arial"/>
          <w:sz w:val="22"/>
          <w:szCs w:val="22"/>
        </w:rPr>
      </w:pPr>
      <w:r w:rsidDel="00000000" w:rsidR="00000000" w:rsidRPr="00000000">
        <w:rPr>
          <w:rFonts w:ascii="Arial" w:cs="Arial" w:eastAsia="Arial" w:hAnsi="Arial"/>
          <w:rtl w:val="0"/>
        </w:rPr>
        <w:t xml:space="preserve">Casos amplamente divulgados pela imprensa demonstram a gravidade dessas situações. Entre eles destaca-se o falecimento da estudante Danielle Shockness de Jesus, de 10 anos, após sofrer reação alérgica grave em ambiente escolar. Outro caso envolve o estudante Ishmaeel Ashraf, de 9 anos, </w:t>
      </w:r>
      <w:r w:rsidDel="00000000" w:rsidR="00000000" w:rsidRPr="00000000">
        <w:rPr>
          <w:rFonts w:ascii="Arial" w:cs="Arial" w:eastAsia="Arial" w:hAnsi="Arial"/>
          <w:sz w:val="22"/>
          <w:szCs w:val="22"/>
          <w:rtl w:val="0"/>
        </w:rPr>
        <w:t xml:space="preserve">que morreu após consumir alimento ao qual possuía alergia previamente informada à instituição de ensino. Esses episódios evidenciam que a demora no reconhecimento e no atendimento de reações alérgicas graves pode resultar em consequências irreversíveis, inclusive óbito.</w:t>
      </w:r>
    </w:p>
    <w:p w:rsidR="00000000" w:rsidDel="00000000" w:rsidP="00000000" w:rsidRDefault="00000000" w:rsidRPr="00000000" w14:paraId="00000017">
      <w:pPr>
        <w:ind w:firstLine="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Importa destacar que a legislação federal vigente, em especial a Lei Lucas (Lei nº 13.722/2018), estabelece a obrigatoriedade de capacitação de professores e funcionários de estabelecimentos de ensino em noções básicas de primeiros socorros. Entretanto, a referida legislação não contempla de forma específica o reconhecimento e o manejo de reações alérgicas graves, tampouco estabelece protocolos voltados ao atendimento de estudantes diagnosticados com alergias alimentares severas ou risco de Anafilaxia. A anafilaxia constitui uma emergência médica que exige intervenção imediata e protocolos específicos, incluindo a possibilidade de administração de adrenalina nos primeiros minutos após o início da reação. Nesse contexto, verifica-se que as diretrizes previstas na Lei Lucas, embora extremamente relevantes para o atendimento de diversas emergências no ambiente escolar, não são suficientes para garantir resposta adequada em casos de reações anafiláticas, que demandam treinamento direcionado e protocolos próprios de manejo clínico. Dessa forma, a presente proposta legislativa busca complementar a proteção já prevista na legislação federal, estabelecendo medidas específicas voltadas à prevenção e ao atendimento de emergências relacionadas a alergias graves no ambiente escolar.</w:t>
      </w:r>
    </w:p>
    <w:p w:rsidR="00000000" w:rsidDel="00000000" w:rsidP="00000000" w:rsidRDefault="00000000" w:rsidRPr="00000000" w14:paraId="00000018">
      <w:pPr>
        <w:ind w:firstLine="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Ademais, diversas instituições privadas de ensino já adotam medidas estruturadas de proteção à saúde dos estudantes, incluindo enfermarias escolares, seguros estudantis, protocolos de atendimento emergencial e encaminhamento imediato para unidades hospitalares. Dessa forma, a presente proposta busca estimular e institucionalizar no âmbito do Município de Niterói a adoção de mecanismos semelhantes nas unidades escolares. A iniciativa também considera que a demora no atendimento do serviço de emergência pode agravar rapidamente o quadro clínico, sendo essencial a adoção de medidas imediatas para preservação da vida.</w:t>
      </w:r>
    </w:p>
    <w:p w:rsidR="00000000" w:rsidDel="00000000" w:rsidP="00000000" w:rsidRDefault="00000000" w:rsidRPr="00000000" w14:paraId="00000019">
      <w:pPr>
        <w:ind w:firstLine="72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Antonella Gonçalves Agarra Ribeiro é aluna da rede municipal de ensino de Niterói e convive com alergia alimentar severa ao ovo, com predisposição à anafilaxia, uma reação alérgica grave, rápida e potencialmente fatal. Para sua segurança, necessita manter diariamente um kit de emergência com duas canetas de adrenalina autoinjetável, medicação essencial para salvar sua vida até a chegada ao hospital.</w:t>
      </w:r>
    </w:p>
    <w:p w:rsidR="00000000" w:rsidDel="00000000" w:rsidP="00000000" w:rsidRDefault="00000000" w:rsidRPr="00000000" w14:paraId="0000001A">
      <w:pPr>
        <w:ind w:firstLine="72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Em 2025, Antonella teve sua segurança comprometida dentro da própria escola. A Fundação Municipal de Educação negou a autorização para que sua medicação fosse armazenada na unidade escolar e informou que, em caso de emergência, deveria ser acionado apenas o SAMU, obrigando a criança a aguardar atendimento sem o uso imediato da medicação que pode salvar sua vida.</w:t>
      </w:r>
    </w:p>
    <w:p w:rsidR="00000000" w:rsidDel="00000000" w:rsidP="00000000" w:rsidRDefault="00000000" w:rsidRPr="00000000" w14:paraId="0000001B">
      <w:pPr>
        <w:ind w:firstLine="72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Além disso, a unidade escolar não possui  profissionais  capacitados para reconhecer e agir diante de uma crise anafilática, tampouco estrutura mínima de enfermaria ou protocolo de atendimento emergencial. A ausência de preparo e adequação às necessidades de Antonella evidenciou uma lacuna grave na proteção à saúde dos estudantes de toda a rede municipal de Niterói com condições médicas potencialmente fatais.</w:t>
      </w:r>
    </w:p>
    <w:p w:rsidR="00000000" w:rsidDel="00000000" w:rsidP="00000000" w:rsidRDefault="00000000" w:rsidRPr="00000000" w14:paraId="0000001C">
      <w:pPr>
        <w:ind w:firstLine="72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Diante desse cenário, sua mãe passou a frequentar diariamente a escola para garantir sua segurança. Nos dias em que há oferta de ovo, Antonella  é impedida de frequentar a unidade escolar, sofrendo, na prática, restrição ao seu direito à educação por falta de medidas de segurança adequadas.</w:t>
      </w:r>
    </w:p>
    <w:p w:rsidR="00000000" w:rsidDel="00000000" w:rsidP="00000000" w:rsidRDefault="00000000" w:rsidRPr="00000000" w14:paraId="0000001D">
      <w:pPr>
        <w:ind w:firstLine="72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A história de Antonella evidencia uma realidade preocupante: crianças com alergias alimentares graves frequentam escolas sem profissionais capacitados, sem estrutura de enfermaria e sem protocolos claros de emergência.</w:t>
      </w:r>
    </w:p>
    <w:p w:rsidR="00000000" w:rsidDel="00000000" w:rsidP="00000000" w:rsidRDefault="00000000" w:rsidRPr="00000000" w14:paraId="0000001E">
      <w:pPr>
        <w:ind w:firstLine="720"/>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A Lei Antonella Agarra nasce dessa necessidade urgente: garantir profissionais capacitados, adequação das unidades escolares, implementação de enfermarias ou espaços de atendimento emergencial e protocolos de segurança, assegurando que nenhuma criança tenha sua vida colocada em risco dentro da escola.</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1F">
      <w:pPr>
        <w:ind w:firstLine="72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Ressalta-se ainda que a presente proposta nasce da realidade vivenciada por crianças residentes no Município de Niterói diagnosticadas com alergia alimentar severa, que se deparam com a ausência de protocolos estruturados e condições adequadas de segurança no ambiente escolar. Tal situação evidencia lacuna de proteção institucional que acaba transferindo às famílias responsabilidade que deveria ser compartilhada com o poder público. Assim, o presente projeto busca assegurar que crianças com alergias graves possam frequentar o ambiente escolar com segurança, dignidade e proteção à vida, em consonância com os princípios da dignidade da pessoa humana e da proteção integral da criança e do adolescente.</w:t>
      </w:r>
    </w:p>
    <w:p w:rsidR="00000000" w:rsidDel="00000000" w:rsidP="00000000" w:rsidRDefault="00000000" w:rsidRPr="00000000" w14:paraId="00000020">
      <w:pPr>
        <w:jc w:val="both"/>
        <w:rPr>
          <w:rFonts w:ascii="Arial" w:cs="Arial" w:eastAsia="Arial" w:hAnsi="Arial"/>
        </w:rPr>
      </w:pPr>
      <w:r w:rsidDel="00000000" w:rsidR="00000000" w:rsidRPr="00000000">
        <w:rPr>
          <w:rtl w:val="0"/>
        </w:rPr>
      </w:r>
    </w:p>
    <w:sectPr>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pt_BR"/>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iHoR8swCTsMGTR9+dSs3RA6WdQ==">CgMxLjA4AHIhMTVrb1ZtRkdVWVFlelFYQXhTTWZJVVRlVjRoMUtvc1Bm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