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BF783" w14:textId="77777777" w:rsidR="00D0340A" w:rsidRPr="006A5FAB" w:rsidRDefault="007A011B" w:rsidP="004819CF">
      <w:pPr>
        <w:jc w:val="center"/>
        <w:rPr>
          <w:rFonts w:ascii="Tahoma" w:hAnsi="Tahoma" w:cs="Tahoma"/>
          <w:b/>
          <w:u w:val="single"/>
        </w:rPr>
      </w:pPr>
      <w:r w:rsidRPr="006A5FAB">
        <w:rPr>
          <w:rFonts w:ascii="Tahoma" w:hAnsi="Tahoma" w:cs="Tahoma"/>
          <w:b/>
          <w:u w:val="single"/>
        </w:rPr>
        <w:t xml:space="preserve">PROJETO DE </w:t>
      </w:r>
      <w:r w:rsidR="00251039" w:rsidRPr="006A5FAB">
        <w:rPr>
          <w:rFonts w:ascii="Tahoma" w:hAnsi="Tahoma" w:cs="Tahoma"/>
          <w:b/>
          <w:u w:val="single"/>
        </w:rPr>
        <w:t>LEI</w:t>
      </w:r>
      <w:r w:rsidRPr="006A5FAB">
        <w:rPr>
          <w:rFonts w:ascii="Tahoma" w:hAnsi="Tahoma" w:cs="Tahoma"/>
          <w:b/>
          <w:u w:val="single"/>
        </w:rPr>
        <w:t xml:space="preserve"> Nº </w:t>
      </w:r>
      <w:r w:rsidR="009F5A7E" w:rsidRPr="006A5FAB">
        <w:rPr>
          <w:rFonts w:ascii="Tahoma" w:hAnsi="Tahoma" w:cs="Tahoma"/>
          <w:b/>
          <w:u w:val="single"/>
        </w:rPr>
        <w:t xml:space="preserve">     </w:t>
      </w:r>
      <w:r w:rsidRPr="006A5FAB">
        <w:rPr>
          <w:rFonts w:ascii="Tahoma" w:hAnsi="Tahoma" w:cs="Tahoma"/>
          <w:b/>
          <w:u w:val="single"/>
        </w:rPr>
        <w:t xml:space="preserve"> /202</w:t>
      </w:r>
      <w:r w:rsidR="004819CF" w:rsidRPr="006A5FAB">
        <w:rPr>
          <w:rFonts w:ascii="Tahoma" w:hAnsi="Tahoma" w:cs="Tahoma"/>
          <w:b/>
          <w:u w:val="single"/>
        </w:rPr>
        <w:t>6</w:t>
      </w:r>
    </w:p>
    <w:p w14:paraId="01E33622" w14:textId="77777777" w:rsidR="004819CF" w:rsidRPr="006A5FAB" w:rsidRDefault="004819CF" w:rsidP="004819CF">
      <w:pPr>
        <w:jc w:val="center"/>
        <w:rPr>
          <w:rFonts w:ascii="Tahoma" w:hAnsi="Tahoma" w:cs="Tahoma"/>
        </w:rPr>
      </w:pPr>
    </w:p>
    <w:p w14:paraId="04A06C27" w14:textId="77777777" w:rsidR="004052AF" w:rsidRPr="006A5FAB" w:rsidRDefault="004052AF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</w:p>
    <w:p w14:paraId="1961D7AF" w14:textId="07C170B0" w:rsidR="004052AF" w:rsidRPr="006A5FAB" w:rsidRDefault="006A5FAB" w:rsidP="007E2B71">
      <w:pPr>
        <w:spacing w:line="360" w:lineRule="auto"/>
        <w:ind w:left="5387"/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  <w:bookmarkStart w:id="0" w:name="_Hlk220924357"/>
      <w:r w:rsidRPr="006A5FAB">
        <w:rPr>
          <w:rFonts w:ascii="Tahoma" w:eastAsia="Aptos" w:hAnsi="Tahoma" w:cs="Tahoma"/>
          <w:b/>
          <w:color w:val="000000"/>
          <w:kern w:val="2"/>
          <w:lang w:eastAsia="en-US"/>
        </w:rPr>
        <w:t xml:space="preserve">DISPÕE SOBRE A DIVULGAÇÃO PRÉVIA, NO ÂMBITO DO MUNICÍPIO DE NITERÓI, DAS INTERRUPÇÕES PROGRAMADAS NO FORNECIMENTO DE ENERGIA ELÉTRICA PELAS CONCESSIONÁRIAS E PERMISSIONÁRIAS DE DISTRIBUIÇÃO, E DÁ OUTRAS PROVIDÊNCIAS. </w:t>
      </w:r>
    </w:p>
    <w:bookmarkEnd w:id="0"/>
    <w:p w14:paraId="599C11EE" w14:textId="77777777" w:rsidR="00D0340A" w:rsidRPr="006A5FAB" w:rsidRDefault="00D0340A">
      <w:pPr>
        <w:spacing w:line="276" w:lineRule="auto"/>
        <w:jc w:val="both"/>
        <w:rPr>
          <w:rFonts w:ascii="Tahoma" w:hAnsi="Tahoma" w:cs="Tahoma"/>
        </w:rPr>
      </w:pPr>
    </w:p>
    <w:p w14:paraId="791F9D44" w14:textId="3B906D9C" w:rsidR="009546F1" w:rsidRPr="006A5FAB" w:rsidRDefault="003D4B50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>Art. 1º</w:t>
      </w:r>
      <w:r w:rsidR="00CF3314" w:rsidRPr="006A5FAB">
        <w:rPr>
          <w:rFonts w:ascii="Tahoma" w:hAnsi="Tahoma" w:cs="Tahoma"/>
          <w:color w:val="000000" w:themeColor="text1"/>
        </w:rPr>
        <w:t xml:space="preserve"> </w:t>
      </w:r>
      <w:r w:rsidR="006A5FAB" w:rsidRPr="006A5FAB">
        <w:rPr>
          <w:rFonts w:ascii="Tahoma" w:hAnsi="Tahoma" w:cs="Tahoma"/>
          <w:color w:val="000000" w:themeColor="text1"/>
        </w:rPr>
        <w:t>Esta Lei dispõe sobre a obrigação de divulgação prévia, clara e adequada, das interrupções programadas no fornecimento de energia elétrica no âmbito do Município de Niterói, por concessionárias e permissionárias responsáveis pela distribuição de energia elétrica, ressalvadas as hipóteses emergenciais.</w:t>
      </w:r>
    </w:p>
    <w:p w14:paraId="7CB9CF37" w14:textId="77777777" w:rsidR="00554167" w:rsidRPr="006A5FAB" w:rsidRDefault="00554167" w:rsidP="009F5A7E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4AE3CF8F" w14:textId="0DDB7040" w:rsidR="00AD4782" w:rsidRPr="006A5FAB" w:rsidRDefault="003D4B50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>Art. 2º</w:t>
      </w:r>
      <w:r w:rsidR="00CF3314" w:rsidRPr="006A5FAB">
        <w:rPr>
          <w:rFonts w:ascii="Tahoma" w:hAnsi="Tahoma" w:cs="Tahoma"/>
          <w:b/>
          <w:color w:val="000000" w:themeColor="text1"/>
        </w:rPr>
        <w:t xml:space="preserve"> </w:t>
      </w:r>
      <w:r w:rsidR="006A5FAB" w:rsidRPr="006A5FAB">
        <w:rPr>
          <w:rFonts w:ascii="Tahoma" w:hAnsi="Tahoma" w:cs="Tahoma"/>
          <w:color w:val="000000" w:themeColor="text1"/>
        </w:rPr>
        <w:t>Para os fins desta Lei, considera-se interrupção programada toda suspensão temporária do fornecimento de energia elétrica decorrente de manutenção, reparo, obra, melhoria, expansão, inspeção, substituição de equipamentos ou quaisquer intervenções previamente planejadas pela distribuidora.</w:t>
      </w:r>
    </w:p>
    <w:p w14:paraId="209E85CE" w14:textId="77777777" w:rsidR="000F1343" w:rsidRPr="006A5FAB" w:rsidRDefault="000F1343" w:rsidP="009F5A7E">
      <w:pPr>
        <w:spacing w:line="360" w:lineRule="auto"/>
        <w:ind w:firstLine="708"/>
        <w:jc w:val="both"/>
        <w:rPr>
          <w:rFonts w:ascii="Tahoma" w:hAnsi="Tahoma" w:cs="Tahoma"/>
          <w:color w:val="000000" w:themeColor="text1"/>
        </w:rPr>
      </w:pPr>
    </w:p>
    <w:p w14:paraId="64B7EF16" w14:textId="45DBBDA8" w:rsidR="006A5FAB" w:rsidRPr="006A5FAB" w:rsidRDefault="000F1343" w:rsidP="00661FD1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>Art. 3º</w:t>
      </w:r>
      <w:r w:rsidR="00CF3314" w:rsidRPr="006A5FAB">
        <w:rPr>
          <w:rFonts w:ascii="Tahoma" w:hAnsi="Tahoma" w:cs="Tahoma"/>
          <w:b/>
          <w:color w:val="000000" w:themeColor="text1"/>
        </w:rPr>
        <w:t xml:space="preserve"> </w:t>
      </w:r>
      <w:r w:rsidR="006A5FAB" w:rsidRPr="006A5FAB">
        <w:rPr>
          <w:rFonts w:ascii="Tahoma" w:hAnsi="Tahoma" w:cs="Tahoma"/>
          <w:color w:val="000000" w:themeColor="text1"/>
        </w:rPr>
        <w:t>Nas hipóteses de interrupção programada que atinjam unidades consumidoras situadas no Município de Niterói, a concessionária ou permissionária deverá promover aviso prévio aos moradores e usuários da área afetada com antecedência mínima de 72 (setenta e duas) horas do início previsto da interrupção, sem prejuízo da observância de prazos superiores fixados pela regulamentação da ANEEL.</w:t>
      </w:r>
    </w:p>
    <w:p w14:paraId="5925121F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lastRenderedPageBreak/>
        <w:t>§1º</w:t>
      </w:r>
      <w:r w:rsidRPr="006A5FAB">
        <w:rPr>
          <w:rFonts w:ascii="Tahoma" w:hAnsi="Tahoma" w:cs="Tahoma"/>
          <w:color w:val="000000" w:themeColor="text1"/>
        </w:rPr>
        <w:t xml:space="preserve"> O aviso deverá conter, no mínimo:</w:t>
      </w:r>
    </w:p>
    <w:p w14:paraId="7E3520B3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 xml:space="preserve">I – </w:t>
      </w:r>
      <w:proofErr w:type="gramStart"/>
      <w:r w:rsidRPr="006A5FAB">
        <w:rPr>
          <w:rFonts w:ascii="Tahoma" w:hAnsi="Tahoma" w:cs="Tahoma"/>
          <w:color w:val="000000" w:themeColor="text1"/>
        </w:rPr>
        <w:t>a</w:t>
      </w:r>
      <w:proofErr w:type="gramEnd"/>
      <w:r w:rsidRPr="006A5FAB">
        <w:rPr>
          <w:rFonts w:ascii="Tahoma" w:hAnsi="Tahoma" w:cs="Tahoma"/>
          <w:color w:val="000000" w:themeColor="text1"/>
        </w:rPr>
        <w:t xml:space="preserve"> identificação da área ou logradouro atingido;</w:t>
      </w:r>
    </w:p>
    <w:p w14:paraId="57347361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 xml:space="preserve">II – </w:t>
      </w:r>
      <w:proofErr w:type="gramStart"/>
      <w:r w:rsidRPr="006A5FAB">
        <w:rPr>
          <w:rFonts w:ascii="Tahoma" w:hAnsi="Tahoma" w:cs="Tahoma"/>
          <w:color w:val="000000" w:themeColor="text1"/>
        </w:rPr>
        <w:t>a</w:t>
      </w:r>
      <w:proofErr w:type="gramEnd"/>
      <w:r w:rsidRPr="006A5FAB">
        <w:rPr>
          <w:rFonts w:ascii="Tahoma" w:hAnsi="Tahoma" w:cs="Tahoma"/>
          <w:color w:val="000000" w:themeColor="text1"/>
        </w:rPr>
        <w:t xml:space="preserve"> data da interrupção;</w:t>
      </w:r>
    </w:p>
    <w:p w14:paraId="123B2FED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>III – o horário previsto de início e de término;</w:t>
      </w:r>
    </w:p>
    <w:p w14:paraId="03AA48DB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 xml:space="preserve">IV – </w:t>
      </w:r>
      <w:proofErr w:type="gramStart"/>
      <w:r w:rsidRPr="006A5FAB">
        <w:rPr>
          <w:rFonts w:ascii="Tahoma" w:hAnsi="Tahoma" w:cs="Tahoma"/>
          <w:color w:val="000000" w:themeColor="text1"/>
        </w:rPr>
        <w:t>o</w:t>
      </w:r>
      <w:proofErr w:type="gramEnd"/>
      <w:r w:rsidRPr="006A5FAB">
        <w:rPr>
          <w:rFonts w:ascii="Tahoma" w:hAnsi="Tahoma" w:cs="Tahoma"/>
          <w:color w:val="000000" w:themeColor="text1"/>
        </w:rPr>
        <w:t xml:space="preserve"> motivo da interrupção programada;</w:t>
      </w:r>
    </w:p>
    <w:p w14:paraId="36B99E0D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 xml:space="preserve">V – </w:t>
      </w:r>
      <w:proofErr w:type="gramStart"/>
      <w:r w:rsidRPr="006A5FAB">
        <w:rPr>
          <w:rFonts w:ascii="Tahoma" w:hAnsi="Tahoma" w:cs="Tahoma"/>
          <w:color w:val="000000" w:themeColor="text1"/>
        </w:rPr>
        <w:t>os</w:t>
      </w:r>
      <w:proofErr w:type="gramEnd"/>
      <w:r w:rsidRPr="006A5FAB">
        <w:rPr>
          <w:rFonts w:ascii="Tahoma" w:hAnsi="Tahoma" w:cs="Tahoma"/>
          <w:color w:val="000000" w:themeColor="text1"/>
        </w:rPr>
        <w:t xml:space="preserve"> canais oficiais de atendimento ao consumidor.</w:t>
      </w:r>
    </w:p>
    <w:p w14:paraId="09F11DCF" w14:textId="77777777" w:rsidR="006A5FAB" w:rsidRPr="006A5FAB" w:rsidRDefault="006A5FAB" w:rsidP="006A5FAB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7C7FF60A" w14:textId="021153D0" w:rsidR="000F1343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>§2º</w:t>
      </w:r>
      <w:r w:rsidRPr="006A5FAB">
        <w:rPr>
          <w:rFonts w:ascii="Tahoma" w:hAnsi="Tahoma" w:cs="Tahoma"/>
          <w:color w:val="000000" w:themeColor="text1"/>
        </w:rPr>
        <w:t xml:space="preserve"> Sempre que a regulamentação federal ou da ANEEL estabelecer prazo de aviso superior ao previsto no caput, prevalecerá o prazo mais benéfico ao consumidor.</w:t>
      </w:r>
    </w:p>
    <w:p w14:paraId="540EE567" w14:textId="77777777" w:rsidR="00CF3314" w:rsidRPr="006A5FAB" w:rsidRDefault="00CF3314" w:rsidP="009F5A7E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12BF379D" w14:textId="77777777" w:rsidR="0078627D" w:rsidRPr="0078627D" w:rsidRDefault="00CF3314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 xml:space="preserve">Art. 4º </w:t>
      </w:r>
      <w:r w:rsidR="0078627D" w:rsidRPr="0078627D">
        <w:rPr>
          <w:rFonts w:ascii="Tahoma" w:hAnsi="Tahoma" w:cs="Tahoma"/>
          <w:color w:val="000000" w:themeColor="text1"/>
        </w:rPr>
        <w:t>O aviso prévio de interrupção programada deverá ser realizado, no mínimo, de forma cumulativa, pelos seguintes meios:</w:t>
      </w:r>
    </w:p>
    <w:p w14:paraId="4CC5330A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78627D">
        <w:rPr>
          <w:rFonts w:ascii="Tahoma" w:hAnsi="Tahoma" w:cs="Tahoma"/>
          <w:color w:val="000000" w:themeColor="text1"/>
        </w:rPr>
        <w:t xml:space="preserve">I – </w:t>
      </w:r>
      <w:proofErr w:type="gramStart"/>
      <w:r w:rsidRPr="0078627D">
        <w:rPr>
          <w:rFonts w:ascii="Tahoma" w:hAnsi="Tahoma" w:cs="Tahoma"/>
          <w:color w:val="000000" w:themeColor="text1"/>
        </w:rPr>
        <w:t>publicação</w:t>
      </w:r>
      <w:proofErr w:type="gramEnd"/>
      <w:r w:rsidRPr="0078627D">
        <w:rPr>
          <w:rFonts w:ascii="Tahoma" w:hAnsi="Tahoma" w:cs="Tahoma"/>
          <w:color w:val="000000" w:themeColor="text1"/>
        </w:rPr>
        <w:t xml:space="preserve"> no sítio eletrônico oficial e, se houver, no aplicativo da concessionária, com indicação objetiva da área afetada, da data, do horário de início e término previstos e do motivo da interrupção;</w:t>
      </w:r>
    </w:p>
    <w:p w14:paraId="4443D888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78627D">
        <w:rPr>
          <w:rFonts w:ascii="Tahoma" w:hAnsi="Tahoma" w:cs="Tahoma"/>
          <w:color w:val="000000" w:themeColor="text1"/>
        </w:rPr>
        <w:t xml:space="preserve">II – </w:t>
      </w:r>
      <w:proofErr w:type="gramStart"/>
      <w:r w:rsidRPr="0078627D">
        <w:rPr>
          <w:rFonts w:ascii="Tahoma" w:hAnsi="Tahoma" w:cs="Tahoma"/>
          <w:color w:val="000000" w:themeColor="text1"/>
        </w:rPr>
        <w:t>envio</w:t>
      </w:r>
      <w:proofErr w:type="gramEnd"/>
      <w:r w:rsidRPr="0078627D">
        <w:rPr>
          <w:rFonts w:ascii="Tahoma" w:hAnsi="Tahoma" w:cs="Tahoma"/>
          <w:color w:val="000000" w:themeColor="text1"/>
        </w:rPr>
        <w:t xml:space="preserve"> de comunicação direta aos consumidores cadastrados da área atingida, por SMS, e-mail ou outro meio eletrônico previamente disponibilizado pelo usuário;</w:t>
      </w:r>
    </w:p>
    <w:p w14:paraId="79D6A156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78627D">
        <w:rPr>
          <w:rFonts w:ascii="Tahoma" w:hAnsi="Tahoma" w:cs="Tahoma"/>
          <w:color w:val="000000" w:themeColor="text1"/>
        </w:rPr>
        <w:t>III – divulgação ostensiva no local afetado, sempre que a interrupção atingir área residencial, comercial ou de grande circulação, inclusive por meio de avisos afixados em pontos visíveis, condomínios, associações de moradores ou estabelecimentos de referência da localidade.</w:t>
      </w:r>
    </w:p>
    <w:p w14:paraId="39F84878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14:paraId="0500F08D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78627D">
        <w:rPr>
          <w:rFonts w:ascii="Tahoma" w:hAnsi="Tahoma" w:cs="Tahoma"/>
          <w:b/>
          <w:color w:val="000000" w:themeColor="text1"/>
        </w:rPr>
        <w:t>§1º</w:t>
      </w:r>
      <w:r w:rsidRPr="0078627D">
        <w:rPr>
          <w:rFonts w:ascii="Tahoma" w:hAnsi="Tahoma" w:cs="Tahoma"/>
          <w:color w:val="000000" w:themeColor="text1"/>
        </w:rPr>
        <w:t xml:space="preserve"> Sempre que tecnicamente possível, a concessionária deverá indicar de forma precisa os logradouros, trechos, quadras ou imóveis potencialmente atingidos pela interrupção programada.</w:t>
      </w:r>
    </w:p>
    <w:p w14:paraId="1018F33E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14:paraId="283856D5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78627D">
        <w:rPr>
          <w:rFonts w:ascii="Tahoma" w:hAnsi="Tahoma" w:cs="Tahoma"/>
          <w:b/>
          <w:color w:val="000000" w:themeColor="text1"/>
        </w:rPr>
        <w:t>§2º</w:t>
      </w:r>
      <w:r w:rsidRPr="0078627D">
        <w:rPr>
          <w:rFonts w:ascii="Tahoma" w:hAnsi="Tahoma" w:cs="Tahoma"/>
          <w:color w:val="000000" w:themeColor="text1"/>
        </w:rPr>
        <w:t xml:space="preserve"> Na hipótese de a interrupção atingir escolas, creches, unidades de saúde, instituições de longa permanência para idosos, equipamentos públicos essenciais ou </w:t>
      </w:r>
      <w:r w:rsidRPr="0078627D">
        <w:rPr>
          <w:rFonts w:ascii="Tahoma" w:hAnsi="Tahoma" w:cs="Tahoma"/>
          <w:color w:val="000000" w:themeColor="text1"/>
        </w:rPr>
        <w:lastRenderedPageBreak/>
        <w:t>prédios com grande concentração de moradores, a concessionária deverá promover comunicação específica aos respectivos responsáveis, sem prejuízo das demais formas de divulgação previstas neste artigo.</w:t>
      </w:r>
    </w:p>
    <w:p w14:paraId="146803E5" w14:textId="77777777" w:rsidR="0078627D" w:rsidRPr="0078627D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14:paraId="5A837F5A" w14:textId="756A2BD9" w:rsidR="00CF3314" w:rsidRPr="006A5FAB" w:rsidRDefault="0078627D" w:rsidP="0078627D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78627D">
        <w:rPr>
          <w:rFonts w:ascii="Tahoma" w:hAnsi="Tahoma" w:cs="Tahoma"/>
          <w:b/>
          <w:color w:val="000000" w:themeColor="text1"/>
        </w:rPr>
        <w:t>§3º</w:t>
      </w:r>
      <w:r w:rsidRPr="0078627D">
        <w:rPr>
          <w:rFonts w:ascii="Tahoma" w:hAnsi="Tahoma" w:cs="Tahoma"/>
          <w:color w:val="000000" w:themeColor="text1"/>
        </w:rPr>
        <w:t xml:space="preserve"> A concessionária deverá manter registro comprobatório dos avisos realizados, pelo prazo mínimo de 6 (seis) meses, para fins de fiscalização pelos órgãos competentes.</w:t>
      </w:r>
    </w:p>
    <w:p w14:paraId="01B97EDC" w14:textId="77777777" w:rsidR="00CF3314" w:rsidRPr="006A5FAB" w:rsidRDefault="00CF3314" w:rsidP="009F5A7E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7776FA08" w14:textId="5CDB1F39" w:rsidR="00DD76FB" w:rsidRPr="006A5FAB" w:rsidRDefault="00CF3314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 xml:space="preserve">Art. 5º </w:t>
      </w:r>
      <w:r w:rsidR="006A5FAB" w:rsidRPr="006A5FAB">
        <w:rPr>
          <w:rFonts w:ascii="Tahoma" w:hAnsi="Tahoma" w:cs="Tahoma"/>
          <w:color w:val="000000" w:themeColor="text1"/>
        </w:rPr>
        <w:t>Em áreas predominantemente residenciais, a concessionária deverá adotar linguagem simples e informação objetiva, de modo a permitir a imediata compreensão pelos consumidores acerca do local afetado e da duração estimada da interrupção.</w:t>
      </w:r>
    </w:p>
    <w:p w14:paraId="71DF424D" w14:textId="77777777" w:rsidR="006A5FAB" w:rsidRPr="006A5FAB" w:rsidRDefault="006A5FAB" w:rsidP="006A5FAB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36C44251" w14:textId="702B9AD1" w:rsidR="006A5FAB" w:rsidRPr="006A5FAB" w:rsidRDefault="00CF3314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 xml:space="preserve">Art. 6º </w:t>
      </w:r>
      <w:r w:rsidR="006A5FAB" w:rsidRPr="006A5FAB">
        <w:rPr>
          <w:rFonts w:ascii="Tahoma" w:hAnsi="Tahoma" w:cs="Tahoma"/>
          <w:color w:val="000000" w:themeColor="text1"/>
        </w:rPr>
        <w:t>Ficam excluídas da exigência de antecedência prevista nesta Lei as interrupções decorrentes de:</w:t>
      </w:r>
    </w:p>
    <w:p w14:paraId="2230E4E9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 xml:space="preserve">I – </w:t>
      </w:r>
      <w:proofErr w:type="gramStart"/>
      <w:r w:rsidRPr="006A5FAB">
        <w:rPr>
          <w:rFonts w:ascii="Tahoma" w:hAnsi="Tahoma" w:cs="Tahoma"/>
          <w:color w:val="000000" w:themeColor="text1"/>
        </w:rPr>
        <w:t>emergência</w:t>
      </w:r>
      <w:proofErr w:type="gramEnd"/>
      <w:r w:rsidRPr="006A5FAB">
        <w:rPr>
          <w:rFonts w:ascii="Tahoma" w:hAnsi="Tahoma" w:cs="Tahoma"/>
          <w:color w:val="000000" w:themeColor="text1"/>
        </w:rPr>
        <w:t>;</w:t>
      </w:r>
    </w:p>
    <w:p w14:paraId="48CA7D0F" w14:textId="77777777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 xml:space="preserve">II – </w:t>
      </w:r>
      <w:proofErr w:type="gramStart"/>
      <w:r w:rsidRPr="006A5FAB">
        <w:rPr>
          <w:rFonts w:ascii="Tahoma" w:hAnsi="Tahoma" w:cs="Tahoma"/>
          <w:color w:val="000000" w:themeColor="text1"/>
        </w:rPr>
        <w:t>risco</w:t>
      </w:r>
      <w:proofErr w:type="gramEnd"/>
      <w:r w:rsidRPr="006A5FAB">
        <w:rPr>
          <w:rFonts w:ascii="Tahoma" w:hAnsi="Tahoma" w:cs="Tahoma"/>
          <w:color w:val="000000" w:themeColor="text1"/>
        </w:rPr>
        <w:t xml:space="preserve"> iminente à segurança de pessoas, bens ou instalações;</w:t>
      </w:r>
    </w:p>
    <w:p w14:paraId="1B2C8E0E" w14:textId="183CAF8F" w:rsid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>III – caso fortuito ou força maior;</w:t>
      </w:r>
    </w:p>
    <w:p w14:paraId="6B27C6C8" w14:textId="77777777" w:rsidR="0078627D" w:rsidRPr="006A5FAB" w:rsidRDefault="0078627D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14:paraId="04A0C6E2" w14:textId="6ABBE7EE" w:rsidR="006A5FAB" w:rsidRPr="006A5FAB" w:rsidRDefault="006A5FAB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>Parágrafo único</w:t>
      </w:r>
      <w:r w:rsidRPr="006A5FAB">
        <w:rPr>
          <w:rFonts w:ascii="Tahoma" w:hAnsi="Tahoma" w:cs="Tahoma"/>
          <w:color w:val="000000" w:themeColor="text1"/>
        </w:rPr>
        <w:t>. Nas hipóteses deste artigo, a concessionária deverá dar publicidade à ocorrência pelos meios disponíveis tão logo seja possível, indicando, sempre que cabível, a justificativa da medida e a estimativa de restabelecimento.</w:t>
      </w:r>
    </w:p>
    <w:p w14:paraId="5054DA0A" w14:textId="77777777" w:rsidR="00CF3314" w:rsidRPr="006A5FAB" w:rsidRDefault="00CF3314" w:rsidP="009F5A7E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619BC935" w14:textId="38146E6D" w:rsidR="00DD76FB" w:rsidRPr="006A5FAB" w:rsidRDefault="00CF3314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 xml:space="preserve">Art. 7º </w:t>
      </w:r>
      <w:r w:rsidR="006A5FAB" w:rsidRPr="006A5FAB">
        <w:rPr>
          <w:rFonts w:ascii="Tahoma" w:hAnsi="Tahoma" w:cs="Tahoma"/>
          <w:color w:val="000000" w:themeColor="text1"/>
        </w:rPr>
        <w:t>O Poder Executivo poderá, por seus órgãos de proteção e defesa do consumidor, fiscalizar o cumprimento desta Lei no que couber à transparência da informação e aos direitos do consumidor, sem prejuízo das competências dos órgãos federais e regulatórios.</w:t>
      </w:r>
    </w:p>
    <w:p w14:paraId="667BEB77" w14:textId="3B0516FD" w:rsidR="00D375D8" w:rsidRPr="006A5FAB" w:rsidRDefault="00D375D8" w:rsidP="00D375D8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0DC021F6" w14:textId="75B350BB" w:rsidR="00D375D8" w:rsidRPr="006A5FAB" w:rsidRDefault="00D375D8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lastRenderedPageBreak/>
        <w:t xml:space="preserve">Art. 8° </w:t>
      </w:r>
      <w:r w:rsidR="006A5FAB" w:rsidRPr="006A5FAB">
        <w:rPr>
          <w:rFonts w:ascii="Tahoma" w:hAnsi="Tahoma" w:cs="Tahoma"/>
          <w:color w:val="000000" w:themeColor="text1"/>
        </w:rPr>
        <w:t>O descumprimento do disposto nesta Lei sujeitará o infrator às sanções administrativas cabíveis na legislação de defesa do consumidor, observado o devido processo legal e a competência dos órgãos fiscalizadores.</w:t>
      </w:r>
    </w:p>
    <w:p w14:paraId="45C57719" w14:textId="77777777" w:rsidR="006A5FAB" w:rsidRPr="006A5FAB" w:rsidRDefault="006A5FAB" w:rsidP="00D375D8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1DEA44EF" w14:textId="0BE80345" w:rsidR="00D375D8" w:rsidRPr="006A5FAB" w:rsidRDefault="00D375D8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 xml:space="preserve">Art. 9 </w:t>
      </w:r>
      <w:r w:rsidR="006A5FAB" w:rsidRPr="006A5FAB">
        <w:rPr>
          <w:rFonts w:ascii="Tahoma" w:hAnsi="Tahoma" w:cs="Tahoma"/>
          <w:color w:val="000000" w:themeColor="text1"/>
        </w:rPr>
        <w:t>Esta Lei será aplicada em conformidade com a legislação federal e com a regulamentação editada pela Agência Nacional de Energia Elétrica – ANEEL, vedada interpretação que importe em conflito com normas gerais ou técnicas de regulação do setor elétrico.</w:t>
      </w:r>
    </w:p>
    <w:p w14:paraId="43B313F7" w14:textId="4811D0B5" w:rsidR="00035F52" w:rsidRPr="006A5FAB" w:rsidRDefault="00035F52" w:rsidP="00DD76FB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7134E0FA" w14:textId="3EFE9BED" w:rsidR="00035F52" w:rsidRPr="006A5FAB" w:rsidRDefault="00035F52" w:rsidP="006A5FAB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b/>
          <w:color w:val="000000" w:themeColor="text1"/>
        </w:rPr>
        <w:t xml:space="preserve">Art. </w:t>
      </w:r>
      <w:r w:rsidR="00D375D8" w:rsidRPr="006A5FAB">
        <w:rPr>
          <w:rFonts w:ascii="Tahoma" w:hAnsi="Tahoma" w:cs="Tahoma"/>
          <w:b/>
          <w:color w:val="000000" w:themeColor="text1"/>
        </w:rPr>
        <w:t>10</w:t>
      </w:r>
      <w:r w:rsidRPr="006A5FAB">
        <w:rPr>
          <w:rFonts w:ascii="Tahoma" w:hAnsi="Tahoma" w:cs="Tahoma"/>
          <w:b/>
          <w:color w:val="000000" w:themeColor="text1"/>
        </w:rPr>
        <w:t>º</w:t>
      </w:r>
      <w:r w:rsidRPr="006A5FAB">
        <w:rPr>
          <w:rFonts w:ascii="Tahoma" w:hAnsi="Tahoma" w:cs="Tahoma"/>
          <w:color w:val="000000" w:themeColor="text1"/>
        </w:rPr>
        <w:t xml:space="preserve"> </w:t>
      </w:r>
      <w:r w:rsidR="006A5FAB" w:rsidRPr="006A5FAB">
        <w:rPr>
          <w:rFonts w:ascii="Tahoma" w:hAnsi="Tahoma" w:cs="Tahoma"/>
          <w:color w:val="000000" w:themeColor="text1"/>
        </w:rPr>
        <w:t>Esta Lei entra em vigor na data de sua publicação.</w:t>
      </w:r>
    </w:p>
    <w:p w14:paraId="14A7C3FE" w14:textId="77777777" w:rsidR="00035F52" w:rsidRPr="00035F52" w:rsidRDefault="00035F52" w:rsidP="00035F52">
      <w:pPr>
        <w:spacing w:line="360" w:lineRule="auto"/>
        <w:jc w:val="both"/>
        <w:rPr>
          <w:rFonts w:ascii="Book Antiqua" w:hAnsi="Book Antiqua" w:cs="Tahoma"/>
          <w:color w:val="000000" w:themeColor="text1"/>
        </w:rPr>
      </w:pPr>
    </w:p>
    <w:p w14:paraId="4DCE2C51" w14:textId="0A6BBFBA" w:rsidR="00B2685C" w:rsidRPr="009202FC" w:rsidRDefault="00CF3314" w:rsidP="009202FC">
      <w:pPr>
        <w:spacing w:line="360" w:lineRule="auto"/>
        <w:ind w:firstLine="6237"/>
        <w:jc w:val="both"/>
        <w:rPr>
          <w:rFonts w:ascii="Tahoma" w:hAnsi="Tahoma" w:cs="Tahoma"/>
          <w:color w:val="000000" w:themeColor="text1"/>
        </w:rPr>
      </w:pPr>
      <w:r w:rsidRPr="006A5FAB">
        <w:rPr>
          <w:rFonts w:ascii="Tahoma" w:hAnsi="Tahoma" w:cs="Tahoma"/>
          <w:color w:val="000000" w:themeColor="text1"/>
        </w:rPr>
        <w:t xml:space="preserve">Niterói, </w:t>
      </w:r>
      <w:r w:rsidR="006A5FAB" w:rsidRPr="006A5FAB">
        <w:rPr>
          <w:rFonts w:ascii="Tahoma" w:hAnsi="Tahoma" w:cs="Tahoma"/>
          <w:color w:val="000000" w:themeColor="text1"/>
        </w:rPr>
        <w:t>13</w:t>
      </w:r>
      <w:r w:rsidRPr="006A5FAB">
        <w:rPr>
          <w:rFonts w:ascii="Tahoma" w:hAnsi="Tahoma" w:cs="Tahoma"/>
          <w:color w:val="000000" w:themeColor="text1"/>
        </w:rPr>
        <w:t xml:space="preserve"> de </w:t>
      </w:r>
      <w:r w:rsidR="006A5FAB" w:rsidRPr="006A5FAB">
        <w:rPr>
          <w:rFonts w:ascii="Tahoma" w:hAnsi="Tahoma" w:cs="Tahoma"/>
          <w:color w:val="000000" w:themeColor="text1"/>
        </w:rPr>
        <w:t>março</w:t>
      </w:r>
      <w:r w:rsidRPr="006A5FAB">
        <w:rPr>
          <w:rFonts w:ascii="Tahoma" w:hAnsi="Tahoma" w:cs="Tahoma"/>
          <w:color w:val="000000" w:themeColor="text1"/>
        </w:rPr>
        <w:t xml:space="preserve"> de 2025</w:t>
      </w:r>
    </w:p>
    <w:p w14:paraId="7986F119" w14:textId="045FBA52" w:rsidR="00B2685C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677B99AE" w14:textId="77777777" w:rsidR="0078627D" w:rsidRDefault="0078627D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424F7ACF" w14:textId="77777777" w:rsidR="0078627D" w:rsidRPr="004819CF" w:rsidRDefault="0078627D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48DC3C79" w14:textId="7F3DA185" w:rsidR="00E10FDA" w:rsidRPr="006A5FAB" w:rsidRDefault="00E10FDA" w:rsidP="006A5FAB">
      <w:pPr>
        <w:tabs>
          <w:tab w:val="left" w:pos="567"/>
          <w:tab w:val="left" w:pos="6379"/>
        </w:tabs>
        <w:jc w:val="center"/>
        <w:rPr>
          <w:rFonts w:ascii="Tahoma" w:hAnsi="Tahoma" w:cs="Tahoma"/>
          <w:b/>
          <w:color w:val="000000"/>
        </w:rPr>
      </w:pPr>
      <w:r w:rsidRPr="006A5FAB">
        <w:rPr>
          <w:rFonts w:ascii="Tahoma" w:hAnsi="Tahoma" w:cs="Tahoma"/>
          <w:b/>
          <w:color w:val="000000"/>
        </w:rPr>
        <w:t>_______________________</w:t>
      </w:r>
      <w:r w:rsidR="00CF3314" w:rsidRPr="006A5FAB">
        <w:rPr>
          <w:rFonts w:ascii="Tahoma" w:hAnsi="Tahoma" w:cs="Tahoma"/>
          <w:b/>
          <w:color w:val="000000"/>
        </w:rPr>
        <w:t>__</w:t>
      </w:r>
    </w:p>
    <w:p w14:paraId="4408D97B" w14:textId="5F63C25F" w:rsidR="00CF3314" w:rsidRPr="006A5FAB" w:rsidRDefault="008546E4" w:rsidP="006A5FAB">
      <w:pPr>
        <w:jc w:val="center"/>
        <w:rPr>
          <w:rFonts w:ascii="Tahoma" w:hAnsi="Tahoma" w:cs="Tahoma"/>
          <w:b/>
          <w:color w:val="000000"/>
        </w:rPr>
      </w:pPr>
      <w:r w:rsidRPr="006A5FAB">
        <w:rPr>
          <w:rFonts w:ascii="Tahoma" w:hAnsi="Tahoma" w:cs="Tahoma"/>
          <w:b/>
          <w:color w:val="000000"/>
        </w:rPr>
        <w:t>Daniel Marques</w:t>
      </w:r>
    </w:p>
    <w:p w14:paraId="3CBF06AC" w14:textId="7E273A53" w:rsidR="006A5FAB" w:rsidRDefault="006A5FAB" w:rsidP="009202FC">
      <w:pPr>
        <w:jc w:val="center"/>
        <w:rPr>
          <w:rFonts w:ascii="Tahoma" w:hAnsi="Tahoma" w:cs="Tahoma"/>
          <w:b/>
          <w:color w:val="000000"/>
        </w:rPr>
      </w:pPr>
      <w:r w:rsidRPr="006A5FAB">
        <w:rPr>
          <w:rFonts w:ascii="Tahoma" w:hAnsi="Tahoma" w:cs="Tahoma"/>
          <w:b/>
          <w:color w:val="000000"/>
        </w:rPr>
        <w:t>Vereador</w:t>
      </w:r>
    </w:p>
    <w:p w14:paraId="41F58E45" w14:textId="0BC38367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6694BC11" w14:textId="72FFB41C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56AD9181" w14:textId="052124DD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638FDDAB" w14:textId="2137C97B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74393DC9" w14:textId="53043A82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64457C0B" w14:textId="58B4A4A3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251CD79C" w14:textId="5E883FB5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2C00D9E6" w14:textId="37B4098C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10DF1428" w14:textId="59150345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162B4583" w14:textId="15166518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17310D88" w14:textId="4FE0DCA4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007D6F4D" w14:textId="672389C7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596988F6" w14:textId="40B8195D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71B1D003" w14:textId="4D85EB04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2595CFE5" w14:textId="7F555D0E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08DFCC43" w14:textId="0CABE8A8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3A091EFE" w14:textId="0AF6C554" w:rsidR="0078627D" w:rsidRDefault="0078627D" w:rsidP="009202FC">
      <w:pPr>
        <w:jc w:val="center"/>
        <w:rPr>
          <w:rFonts w:ascii="Tahoma" w:hAnsi="Tahoma" w:cs="Tahoma"/>
          <w:b/>
          <w:color w:val="000000"/>
        </w:rPr>
      </w:pPr>
    </w:p>
    <w:p w14:paraId="0FEC06BF" w14:textId="77777777" w:rsidR="0078627D" w:rsidRDefault="0078627D" w:rsidP="006A5FAB">
      <w:pPr>
        <w:jc w:val="center"/>
        <w:rPr>
          <w:rFonts w:ascii="Tahoma" w:hAnsi="Tahoma" w:cs="Tahoma"/>
          <w:b/>
          <w:bCs/>
          <w:color w:val="000000" w:themeColor="text1"/>
          <w:u w:val="single"/>
        </w:rPr>
      </w:pPr>
    </w:p>
    <w:p w14:paraId="580E308F" w14:textId="7001CB95" w:rsidR="004052AF" w:rsidRPr="006A5FAB" w:rsidRDefault="009101A1" w:rsidP="006A5FAB">
      <w:pPr>
        <w:jc w:val="center"/>
        <w:rPr>
          <w:rFonts w:ascii="Tahoma" w:hAnsi="Tahoma" w:cs="Tahoma"/>
          <w:b/>
          <w:bCs/>
          <w:color w:val="000000" w:themeColor="text1"/>
          <w:u w:val="single"/>
        </w:rPr>
      </w:pPr>
      <w:bookmarkStart w:id="1" w:name="_GoBack"/>
      <w:bookmarkEnd w:id="1"/>
      <w:r w:rsidRPr="006A5FAB">
        <w:rPr>
          <w:rFonts w:ascii="Tahoma" w:hAnsi="Tahoma" w:cs="Tahoma"/>
          <w:b/>
          <w:bCs/>
          <w:color w:val="000000" w:themeColor="text1"/>
          <w:u w:val="single"/>
        </w:rPr>
        <w:lastRenderedPageBreak/>
        <w:t>JUSTIFICATIVA</w:t>
      </w:r>
    </w:p>
    <w:p w14:paraId="65AB381A" w14:textId="65C0CC92" w:rsidR="006A5FAB" w:rsidRPr="006A5FAB" w:rsidRDefault="006A5FAB" w:rsidP="006A5FA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6A5FAB">
        <w:rPr>
          <w:rFonts w:ascii="Tahoma" w:hAnsi="Tahoma" w:cs="Tahoma"/>
          <w:color w:val="auto"/>
          <w:lang w:eastAsia="pt-BR"/>
        </w:rPr>
        <w:t>A presente proposição tem por objetivo reforçar, no âmbito do Município de Niterói, o dever de informação prévia aos consumidores acerca das interrupções programadas no fornecimento de energia elétrica, em casos de manutenção, reparo, obras e demais intervenções planejadas pelas distribuidoras.</w:t>
      </w:r>
    </w:p>
    <w:p w14:paraId="740E31FE" w14:textId="22147E9C" w:rsidR="006A5FAB" w:rsidRPr="006A5FAB" w:rsidRDefault="006A5FAB" w:rsidP="006A5FA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6A5FAB">
        <w:rPr>
          <w:rFonts w:ascii="Tahoma" w:hAnsi="Tahoma" w:cs="Tahoma"/>
          <w:color w:val="auto"/>
          <w:lang w:eastAsia="pt-BR"/>
        </w:rPr>
        <w:t>A medida prestigia os princípios da transparência, da boa-fé e da proteção do consumidor, permitindo que famílias, comerciantes, prestadores de serviço e demais usuários possam se organizar previamente diante da suspensão temporária do fornecimento. Em uma cidade dinâmica como Niterói, a falta de informação adequada sobre cortes programados pode afetar o funcionamento de residências, atividades econômicas, conservação de alimentos e medicamentos, segurança predial e rotina de trabalho dos cidadãos.</w:t>
      </w:r>
    </w:p>
    <w:p w14:paraId="39FE5BD3" w14:textId="0749E278" w:rsidR="006A5FAB" w:rsidRPr="006A5FAB" w:rsidRDefault="006A5FAB" w:rsidP="006A5FA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6A5FAB">
        <w:rPr>
          <w:rFonts w:ascii="Tahoma" w:hAnsi="Tahoma" w:cs="Tahoma"/>
          <w:color w:val="auto"/>
          <w:lang w:eastAsia="pt-BR"/>
        </w:rPr>
        <w:t>A proposta observa a regulamentação já existente no âmbito da ANEEL. O Módulo 8 do PRODIST determina que a distribuidora avise os consumidores sobre interrupções programadas, informando data e horário de início e término, com antecedência mínima de 5 dias úteis, 3 dias úteis ou 72 horas, conforme a categoria da unidade consumidora, além de prever proteção específica para consumidores que dependem de equipamentos vitais movidos a energia elétrica.</w:t>
      </w:r>
    </w:p>
    <w:p w14:paraId="4BDED43A" w14:textId="3881C71F" w:rsidR="006A5FAB" w:rsidRPr="006A5FAB" w:rsidRDefault="006A5FAB" w:rsidP="006A5FA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6A5FAB">
        <w:rPr>
          <w:rFonts w:ascii="Tahoma" w:hAnsi="Tahoma" w:cs="Tahoma"/>
          <w:color w:val="auto"/>
          <w:lang w:eastAsia="pt-BR"/>
        </w:rPr>
        <w:t>Dessa forma, o projeto não busca invadir a competência regulatória federal, mas sim reforçar, em âmbito local, a necessidade de publicidade efetiva e de comunicação clara à população niteroiense, adotando, para a generalidade dos moradores, o piso mínimo de 72 horas já previsto na disciplina setorial e preservando os prazos superiores fixados pela ANEEL quando cabíveis.</w:t>
      </w:r>
    </w:p>
    <w:p w14:paraId="301422CA" w14:textId="37B9FBEA" w:rsidR="007F1B64" w:rsidRPr="006A5FAB" w:rsidRDefault="006A5FAB" w:rsidP="006A5FA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6A5FAB">
        <w:rPr>
          <w:rFonts w:ascii="Tahoma" w:hAnsi="Tahoma" w:cs="Tahoma"/>
          <w:color w:val="auto"/>
          <w:lang w:eastAsia="pt-BR"/>
        </w:rPr>
        <w:t>Trata-se, portanto, de medida razoável, proporcional e voltada à tutela do interesse local e dos direitos básicos do consumidor, merecendo a aprovação desta Casa Legislativa.</w:t>
      </w:r>
    </w:p>
    <w:p w14:paraId="5983F643" w14:textId="77777777" w:rsidR="006A5FAB" w:rsidRPr="006A5FAB" w:rsidRDefault="006A5FAB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</w:p>
    <w:sectPr w:rsidR="006A5FAB" w:rsidRPr="006A5FAB" w:rsidSect="005765E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364F0" w14:textId="77777777" w:rsidR="00F35A1F" w:rsidRDefault="00F35A1F">
      <w:r>
        <w:separator/>
      </w:r>
    </w:p>
  </w:endnote>
  <w:endnote w:type="continuationSeparator" w:id="0">
    <w:p w14:paraId="56D5FF61" w14:textId="77777777" w:rsidR="00F35A1F" w:rsidRDefault="00F35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8E856" w14:textId="77777777" w:rsidR="009202FC" w:rsidRDefault="009202FC" w:rsidP="009202F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       Av. Amaral Peixoto, 625 / Gabinete: 30 – Centro – Niterói – RJ – CEP.: 24.023-900            HC            </w:t>
    </w:r>
  </w:p>
  <w:p w14:paraId="6F45D640" w14:textId="77777777" w:rsidR="009202FC" w:rsidRDefault="009202FC" w:rsidP="009202FC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29050E40" w14:textId="5F5185C5" w:rsidR="00D0340A" w:rsidRPr="009202FC" w:rsidRDefault="009202FC" w:rsidP="009202F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1F231" w14:textId="77777777" w:rsidR="00F35A1F" w:rsidRDefault="00F35A1F">
      <w:r>
        <w:separator/>
      </w:r>
    </w:p>
  </w:footnote>
  <w:footnote w:type="continuationSeparator" w:id="0">
    <w:p w14:paraId="678D736A" w14:textId="77777777" w:rsidR="00F35A1F" w:rsidRDefault="00F35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302FE" w14:textId="77777777"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 w14:paraId="0E6DA759" w14:textId="77777777">
      <w:trPr>
        <w:trHeight w:val="1971"/>
      </w:trPr>
      <w:tc>
        <w:tcPr>
          <w:tcW w:w="1726" w:type="dxa"/>
          <w:shd w:val="clear" w:color="auto" w:fill="auto"/>
        </w:tcPr>
        <w:p w14:paraId="0936D066" w14:textId="77777777"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FF04B16" wp14:editId="507D665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16E591EE" w14:textId="77777777"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001C05C5" w14:textId="77777777" w:rsidR="00D0340A" w:rsidRPr="006A5FAB" w:rsidRDefault="00D0340A">
          <w:pPr>
            <w:pStyle w:val="Cabealho"/>
            <w:widowControl w:val="0"/>
            <w:rPr>
              <w:rFonts w:ascii="Tahoma" w:hAnsi="Tahoma" w:cs="Tahoma"/>
              <w:sz w:val="22"/>
              <w:szCs w:val="32"/>
            </w:rPr>
          </w:pPr>
        </w:p>
        <w:p w14:paraId="4E1613C8" w14:textId="77777777" w:rsidR="00D0340A" w:rsidRPr="006A5FAB" w:rsidRDefault="007A011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 w:rsidRPr="006A5FAB"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001C8DB" w14:textId="77777777" w:rsidR="00D0340A" w:rsidRPr="006A5FAB" w:rsidRDefault="00D0340A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36"/>
            </w:rPr>
          </w:pPr>
        </w:p>
        <w:p w14:paraId="1F8362AF" w14:textId="1F8F1942" w:rsidR="00D0340A" w:rsidRDefault="006A5FAB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A5FAB">
            <w:rPr>
              <w:rFonts w:ascii="Tahoma" w:hAnsi="Tahoma" w:cs="Tahoma"/>
              <w:b/>
              <w:sz w:val="28"/>
              <w:szCs w:val="28"/>
            </w:rPr>
            <w:t>Gabinete do Vereador Daniel Marques</w:t>
          </w:r>
        </w:p>
      </w:tc>
    </w:tr>
  </w:tbl>
  <w:p w14:paraId="1FB9B7A8" w14:textId="77777777"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E5C"/>
    <w:multiLevelType w:val="hybridMultilevel"/>
    <w:tmpl w:val="EB048FE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4C5824"/>
    <w:multiLevelType w:val="hybridMultilevel"/>
    <w:tmpl w:val="6F045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8DC6CFF"/>
    <w:multiLevelType w:val="hybridMultilevel"/>
    <w:tmpl w:val="8A125F0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9807CEF"/>
    <w:multiLevelType w:val="hybridMultilevel"/>
    <w:tmpl w:val="5934A06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40A"/>
    <w:rsid w:val="000043B4"/>
    <w:rsid w:val="00023A94"/>
    <w:rsid w:val="00024410"/>
    <w:rsid w:val="00035F52"/>
    <w:rsid w:val="000B279D"/>
    <w:rsid w:val="000D44EC"/>
    <w:rsid w:val="000F1343"/>
    <w:rsid w:val="0012226E"/>
    <w:rsid w:val="0017446A"/>
    <w:rsid w:val="001A399C"/>
    <w:rsid w:val="001B3E48"/>
    <w:rsid w:val="001D7A81"/>
    <w:rsid w:val="001E0FF6"/>
    <w:rsid w:val="001E1A0C"/>
    <w:rsid w:val="001F29F0"/>
    <w:rsid w:val="00251039"/>
    <w:rsid w:val="00291B39"/>
    <w:rsid w:val="002A2663"/>
    <w:rsid w:val="002B6737"/>
    <w:rsid w:val="002E1F31"/>
    <w:rsid w:val="002E7E49"/>
    <w:rsid w:val="002F2801"/>
    <w:rsid w:val="00312258"/>
    <w:rsid w:val="003475A1"/>
    <w:rsid w:val="0035485A"/>
    <w:rsid w:val="003A1EF8"/>
    <w:rsid w:val="003A6523"/>
    <w:rsid w:val="003D4B50"/>
    <w:rsid w:val="00402150"/>
    <w:rsid w:val="004052AF"/>
    <w:rsid w:val="00435B8B"/>
    <w:rsid w:val="0044050C"/>
    <w:rsid w:val="004819CF"/>
    <w:rsid w:val="0049736F"/>
    <w:rsid w:val="004A44A2"/>
    <w:rsid w:val="004B5B26"/>
    <w:rsid w:val="004B7F8A"/>
    <w:rsid w:val="004D17A7"/>
    <w:rsid w:val="0050066A"/>
    <w:rsid w:val="005159B3"/>
    <w:rsid w:val="00515E2D"/>
    <w:rsid w:val="00531745"/>
    <w:rsid w:val="00554167"/>
    <w:rsid w:val="00554C1F"/>
    <w:rsid w:val="005765E0"/>
    <w:rsid w:val="00584619"/>
    <w:rsid w:val="00585891"/>
    <w:rsid w:val="00596E54"/>
    <w:rsid w:val="005B6343"/>
    <w:rsid w:val="00612151"/>
    <w:rsid w:val="00623EF4"/>
    <w:rsid w:val="0063034D"/>
    <w:rsid w:val="00661FD1"/>
    <w:rsid w:val="00693581"/>
    <w:rsid w:val="006A2219"/>
    <w:rsid w:val="006A5FAB"/>
    <w:rsid w:val="006D105A"/>
    <w:rsid w:val="006D1C52"/>
    <w:rsid w:val="00706EEE"/>
    <w:rsid w:val="00707E1D"/>
    <w:rsid w:val="007307EB"/>
    <w:rsid w:val="00745499"/>
    <w:rsid w:val="007555D6"/>
    <w:rsid w:val="007648D8"/>
    <w:rsid w:val="0078627D"/>
    <w:rsid w:val="007903BF"/>
    <w:rsid w:val="007A011B"/>
    <w:rsid w:val="007C0F88"/>
    <w:rsid w:val="007C1856"/>
    <w:rsid w:val="007E2B71"/>
    <w:rsid w:val="007F1B64"/>
    <w:rsid w:val="008120D5"/>
    <w:rsid w:val="008163E0"/>
    <w:rsid w:val="008342A6"/>
    <w:rsid w:val="0083707F"/>
    <w:rsid w:val="008546E4"/>
    <w:rsid w:val="00894DE7"/>
    <w:rsid w:val="008B678E"/>
    <w:rsid w:val="008D6DA3"/>
    <w:rsid w:val="008E662B"/>
    <w:rsid w:val="00901666"/>
    <w:rsid w:val="009101A1"/>
    <w:rsid w:val="009202FC"/>
    <w:rsid w:val="00924E4D"/>
    <w:rsid w:val="0094554E"/>
    <w:rsid w:val="009546F1"/>
    <w:rsid w:val="0095719E"/>
    <w:rsid w:val="009A0870"/>
    <w:rsid w:val="009E113F"/>
    <w:rsid w:val="009F5A7E"/>
    <w:rsid w:val="00A05EC8"/>
    <w:rsid w:val="00A10527"/>
    <w:rsid w:val="00A45ADF"/>
    <w:rsid w:val="00A62E78"/>
    <w:rsid w:val="00A74010"/>
    <w:rsid w:val="00AA009A"/>
    <w:rsid w:val="00AA1115"/>
    <w:rsid w:val="00AB6F43"/>
    <w:rsid w:val="00AD22EA"/>
    <w:rsid w:val="00AD4782"/>
    <w:rsid w:val="00AE6278"/>
    <w:rsid w:val="00B2685C"/>
    <w:rsid w:val="00B77C0E"/>
    <w:rsid w:val="00B80FF0"/>
    <w:rsid w:val="00B8225D"/>
    <w:rsid w:val="00B82C5C"/>
    <w:rsid w:val="00BD3D7A"/>
    <w:rsid w:val="00C10A15"/>
    <w:rsid w:val="00C432A0"/>
    <w:rsid w:val="00C4409C"/>
    <w:rsid w:val="00C448FC"/>
    <w:rsid w:val="00C646B1"/>
    <w:rsid w:val="00C6588C"/>
    <w:rsid w:val="00C86FEB"/>
    <w:rsid w:val="00C97463"/>
    <w:rsid w:val="00CA3C3B"/>
    <w:rsid w:val="00CC5F04"/>
    <w:rsid w:val="00CD0096"/>
    <w:rsid w:val="00CE7577"/>
    <w:rsid w:val="00CF3314"/>
    <w:rsid w:val="00D0340A"/>
    <w:rsid w:val="00D375D8"/>
    <w:rsid w:val="00D51D7A"/>
    <w:rsid w:val="00D85985"/>
    <w:rsid w:val="00D92DE0"/>
    <w:rsid w:val="00DB2657"/>
    <w:rsid w:val="00DC3158"/>
    <w:rsid w:val="00DD76FB"/>
    <w:rsid w:val="00E05A53"/>
    <w:rsid w:val="00E10FDA"/>
    <w:rsid w:val="00E13E07"/>
    <w:rsid w:val="00E14A98"/>
    <w:rsid w:val="00E24268"/>
    <w:rsid w:val="00E31C87"/>
    <w:rsid w:val="00E67FAF"/>
    <w:rsid w:val="00E87F25"/>
    <w:rsid w:val="00EB658A"/>
    <w:rsid w:val="00F11E97"/>
    <w:rsid w:val="00F35A1F"/>
    <w:rsid w:val="00F3607B"/>
    <w:rsid w:val="00F53196"/>
    <w:rsid w:val="00F53FF0"/>
    <w:rsid w:val="00F637E1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53EEE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475A1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F1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846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F5A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0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character" w:customStyle="1" w:styleId="ms-1">
    <w:name w:val="ms-1"/>
    <w:basedOn w:val="Fontepargpadro"/>
    <w:rsid w:val="000D44EC"/>
  </w:style>
  <w:style w:type="character" w:customStyle="1" w:styleId="max-w-15ch">
    <w:name w:val="max-w-[15ch]"/>
    <w:basedOn w:val="Fontepargpadro"/>
    <w:rsid w:val="000D44EC"/>
  </w:style>
  <w:style w:type="character" w:customStyle="1" w:styleId="-me-1">
    <w:name w:val="-me-1"/>
    <w:basedOn w:val="Fontepargpadro"/>
    <w:rsid w:val="000D44EC"/>
  </w:style>
  <w:style w:type="character" w:customStyle="1" w:styleId="Ttulo3Char">
    <w:name w:val="Título 3 Char"/>
    <w:basedOn w:val="Fontepargpadro"/>
    <w:link w:val="Ttulo3"/>
    <w:semiHidden/>
    <w:rsid w:val="005846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F1B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9F5A7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rsid w:val="009202FC"/>
    <w:rPr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3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027976-A17B-4BA7-8B95-368A52586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5</Pages>
  <Words>1031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HENRIQUE LEVY</cp:lastModifiedBy>
  <cp:revision>91</cp:revision>
  <cp:lastPrinted>2026-02-25T17:44:00Z</cp:lastPrinted>
  <dcterms:created xsi:type="dcterms:W3CDTF">2025-02-12T14:09:00Z</dcterms:created>
  <dcterms:modified xsi:type="dcterms:W3CDTF">2026-03-13T15:41:00Z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