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728" w:rsidRDefault="0098072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262626"/>
          <w:highlight w:val="black"/>
        </w:rPr>
      </w:pPr>
    </w:p>
    <w:p w:rsidR="00980728" w:rsidRDefault="00F767D9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>PROJETO DE LEI Nº ___/2026</w:t>
      </w:r>
    </w:p>
    <w:p w:rsidR="00980728" w:rsidRDefault="00980728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bCs/>
          <w:smallCaps/>
          <w:color w:val="000000"/>
        </w:rPr>
      </w:pPr>
    </w:p>
    <w:p w:rsidR="0032653F" w:rsidRDefault="0032653F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bCs/>
          <w:smallCaps/>
          <w:color w:val="000000"/>
        </w:rPr>
      </w:pPr>
      <w:bookmarkStart w:id="0" w:name="_GoBack"/>
      <w:bookmarkEnd w:id="0"/>
    </w:p>
    <w:p w:rsidR="00980728" w:rsidRDefault="00F767D9" w:rsidP="0032653F">
      <w:pPr>
        <w:pBdr>
          <w:top w:val="nil"/>
          <w:left w:val="nil"/>
          <w:bottom w:val="nil"/>
          <w:right w:val="nil"/>
          <w:between w:val="nil"/>
        </w:pBdr>
        <w:spacing w:after="200"/>
        <w:ind w:left="4110"/>
        <w:jc w:val="both"/>
        <w:rPr>
          <w:b/>
          <w:bCs/>
          <w:smallCaps/>
        </w:rPr>
      </w:pPr>
      <w:r>
        <w:rPr>
          <w:b/>
          <w:bCs/>
          <w:smallCaps/>
          <w:color w:val="000000"/>
        </w:rPr>
        <w:t>EMENTA:</w:t>
      </w:r>
    </w:p>
    <w:p w:rsidR="00980728" w:rsidRDefault="00F767D9" w:rsidP="0032653F">
      <w:pPr>
        <w:spacing w:after="200" w:line="360" w:lineRule="auto"/>
        <w:ind w:left="4110"/>
        <w:jc w:val="both"/>
        <w:rPr>
          <w:b/>
          <w:bCs/>
          <w:smallCaps/>
          <w:color w:val="222222"/>
        </w:rPr>
      </w:pPr>
      <w:bookmarkStart w:id="1" w:name="_heading=h.sbzpqeixc2tf" w:colFirst="0" w:colLast="0"/>
      <w:bookmarkEnd w:id="1"/>
      <w:r>
        <w:rPr>
          <w:b/>
          <w:bCs/>
          <w:color w:val="000000"/>
        </w:rPr>
        <w:t>RECONHECE O BAIRRO DO CENTRO DO MUNICÍPIO DE NITERÓI COMO “BAIRRO IMPERIAL” E DÁ OUTRAS PROVIDÊNCIAS</w:t>
      </w:r>
      <w:r>
        <w:rPr>
          <w:b/>
          <w:bCs/>
          <w:smallCaps/>
          <w:color w:val="222222"/>
          <w:highlight w:val="white"/>
        </w:rPr>
        <w:t>.</w:t>
      </w:r>
    </w:p>
    <w:p w:rsidR="0032653F" w:rsidRDefault="0032653F" w:rsidP="0032653F">
      <w:pPr>
        <w:spacing w:after="200" w:line="276" w:lineRule="auto"/>
        <w:ind w:left="4110"/>
        <w:jc w:val="both"/>
        <w:rPr>
          <w:b/>
          <w:bCs/>
          <w:smallCaps/>
        </w:rPr>
      </w:pPr>
    </w:p>
    <w:p w:rsidR="0032653F" w:rsidRPr="0032653F" w:rsidRDefault="0032653F" w:rsidP="0032653F">
      <w:pPr>
        <w:spacing w:after="200" w:line="276" w:lineRule="auto"/>
        <w:ind w:left="4110"/>
        <w:jc w:val="both"/>
        <w:rPr>
          <w:b/>
          <w:bCs/>
          <w:smallCaps/>
        </w:rPr>
      </w:pPr>
    </w:p>
    <w:p w:rsidR="00980728" w:rsidRDefault="00F767D9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  <w:r>
        <w:rPr>
          <w:color w:val="222222"/>
        </w:rPr>
        <w:t>A CÂMARA MUNICIPAL DE NITERÓI decreta:</w:t>
      </w:r>
    </w:p>
    <w:p w:rsidR="00980728" w:rsidRDefault="00980728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  <w:r w:rsidRPr="0032653F">
        <w:rPr>
          <w:b/>
          <w:color w:val="222222"/>
        </w:rPr>
        <w:t>Art. 1º</w:t>
      </w:r>
      <w:r>
        <w:rPr>
          <w:color w:val="222222"/>
        </w:rPr>
        <w:t xml:space="preserve"> Fica reconhecido, por sua importância histórica e cultural, o bairro do Centro de Niterói como Bairro Imperial.</w:t>
      </w:r>
    </w:p>
    <w:p w:rsidR="00980728" w:rsidRDefault="00980728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  <w:r>
        <w:rPr>
          <w:color w:val="222222"/>
        </w:rPr>
        <w:t>Parágrafo único. Para os efeitos desta Lei, não haverá qualquer mudança relativa a limites geográficos, parâmetros urbanísticos, zoneam</w:t>
      </w:r>
      <w:r>
        <w:rPr>
          <w:color w:val="222222"/>
        </w:rPr>
        <w:t>ento, denominação oficial do bairro ou dos logradouros que o integram.</w:t>
      </w:r>
    </w:p>
    <w:p w:rsidR="00980728" w:rsidRDefault="00980728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  <w:r w:rsidRPr="0032653F">
        <w:rPr>
          <w:b/>
          <w:color w:val="222222"/>
        </w:rPr>
        <w:t>Art. 2º</w:t>
      </w:r>
      <w:r>
        <w:rPr>
          <w:color w:val="222222"/>
        </w:rPr>
        <w:t xml:space="preserve"> O Poder Executivo poderá adotar medidas destinadas à divulgação e educação patrimonial sobre a história do Centro de Niterói que justifica o reconhecimento a que se refere esta</w:t>
      </w:r>
      <w:r>
        <w:rPr>
          <w:color w:val="222222"/>
        </w:rPr>
        <w:t xml:space="preserve"> Lei, inclusive mediante ações turísticas, culturais e educativas.</w:t>
      </w:r>
    </w:p>
    <w:p w:rsidR="00980728" w:rsidRDefault="00980728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  <w:r w:rsidRPr="0032653F">
        <w:rPr>
          <w:b/>
          <w:color w:val="222222"/>
        </w:rPr>
        <w:t>§ 1º</w:t>
      </w:r>
      <w:r>
        <w:rPr>
          <w:color w:val="222222"/>
        </w:rPr>
        <w:t xml:space="preserve"> Dentre as medidas referidas no caput, o Poder Executivo poderá promover a inserção adicional informativa nas placas de ruas e praças do bairro, ou a instalação de placas específicas d</w:t>
      </w:r>
      <w:r>
        <w:rPr>
          <w:color w:val="222222"/>
        </w:rPr>
        <w:t>e contexto histórico, contendo nomes históricos ou originais e explicações sobre a evolução toponímica dos logradouros, sem alteração das denominações oficiais.</w:t>
      </w:r>
    </w:p>
    <w:p w:rsidR="00980728" w:rsidRDefault="00980728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  <w:r w:rsidRPr="0032653F">
        <w:rPr>
          <w:b/>
          <w:color w:val="222222"/>
        </w:rPr>
        <w:t>§ 2º</w:t>
      </w:r>
      <w:r>
        <w:rPr>
          <w:color w:val="222222"/>
        </w:rPr>
        <w:t xml:space="preserve"> As ações do § 1º observarão a legislação municipal pertinente e poderão ser </w:t>
      </w:r>
      <w:proofErr w:type="gramStart"/>
      <w:r>
        <w:rPr>
          <w:color w:val="222222"/>
        </w:rPr>
        <w:t>executadas em</w:t>
      </w:r>
      <w:r>
        <w:rPr>
          <w:color w:val="222222"/>
        </w:rPr>
        <w:t xml:space="preserve"> cooperação com a Fundação de Arte de Niterói (FAN) e demais órgãos do Sistema Municipal de Cultura</w:t>
      </w:r>
      <w:proofErr w:type="gramEnd"/>
      <w:r>
        <w:rPr>
          <w:color w:val="222222"/>
        </w:rPr>
        <w:t>.</w:t>
      </w:r>
    </w:p>
    <w:p w:rsidR="00980728" w:rsidRDefault="00980728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  <w:r w:rsidRPr="0032653F">
        <w:rPr>
          <w:b/>
          <w:color w:val="222222"/>
        </w:rPr>
        <w:t>§ 3º</w:t>
      </w:r>
      <w:r>
        <w:rPr>
          <w:color w:val="222222"/>
        </w:rPr>
        <w:t xml:space="preserve"> A </w:t>
      </w:r>
      <w:proofErr w:type="gramStart"/>
      <w:r>
        <w:rPr>
          <w:color w:val="222222"/>
        </w:rPr>
        <w:t>implementação</w:t>
      </w:r>
      <w:proofErr w:type="gramEnd"/>
      <w:r>
        <w:rPr>
          <w:color w:val="222222"/>
        </w:rPr>
        <w:t xml:space="preserve"> do disposto neste artigo dependerá de disponibilidade orçamentária e financeira, conforme a legislação de finanças públicas.</w:t>
      </w:r>
    </w:p>
    <w:p w:rsidR="00980728" w:rsidRDefault="00980728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  <w:r w:rsidRPr="0032653F">
        <w:rPr>
          <w:b/>
          <w:color w:val="222222"/>
        </w:rPr>
        <w:t>Art. 3º</w:t>
      </w:r>
      <w:r>
        <w:rPr>
          <w:color w:val="222222"/>
        </w:rPr>
        <w:t xml:space="preserve"> Os prospectos, publicações e campanhas oficiais de valorização do patrimônio histórico-cultural, educacional e turístico do Centro poderão referir-se ao bairro como “Bairro Imperial”, sem prejuízo da denominação oficial.</w:t>
      </w:r>
    </w:p>
    <w:p w:rsidR="00980728" w:rsidRDefault="00980728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</w:p>
    <w:p w:rsidR="00980728" w:rsidRPr="0032653F" w:rsidRDefault="00F767D9" w:rsidP="0032653F">
      <w:pPr>
        <w:shd w:val="clear" w:color="auto" w:fill="FFFFFF"/>
        <w:spacing w:line="276" w:lineRule="auto"/>
        <w:ind w:firstLine="851"/>
        <w:jc w:val="both"/>
        <w:rPr>
          <w:color w:val="222222"/>
        </w:rPr>
      </w:pPr>
      <w:r w:rsidRPr="0032653F">
        <w:rPr>
          <w:b/>
          <w:color w:val="222222"/>
        </w:rPr>
        <w:t>Art. 4º</w:t>
      </w:r>
      <w:r>
        <w:rPr>
          <w:color w:val="222222"/>
        </w:rPr>
        <w:t xml:space="preserve"> Esta Lei entra em vigor n</w:t>
      </w:r>
      <w:r>
        <w:rPr>
          <w:color w:val="222222"/>
        </w:rPr>
        <w:t>a data de sua publicação.</w:t>
      </w:r>
    </w:p>
    <w:p w:rsidR="00980728" w:rsidRDefault="00980728" w:rsidP="0032653F">
      <w:pPr>
        <w:tabs>
          <w:tab w:val="left" w:pos="6394"/>
        </w:tabs>
        <w:spacing w:line="360" w:lineRule="auto"/>
        <w:ind w:firstLine="850"/>
        <w:jc w:val="both"/>
      </w:pPr>
    </w:p>
    <w:p w:rsidR="00980728" w:rsidRDefault="00F767D9" w:rsidP="0032653F">
      <w:pPr>
        <w:tabs>
          <w:tab w:val="left" w:pos="6394"/>
        </w:tabs>
        <w:spacing w:line="360" w:lineRule="auto"/>
        <w:ind w:firstLine="850"/>
        <w:jc w:val="right"/>
      </w:pPr>
      <w:r>
        <w:t>Niterói, 02 de março de 2026.</w:t>
      </w:r>
    </w:p>
    <w:p w:rsidR="00980728" w:rsidRDefault="00980728" w:rsidP="0032653F">
      <w:pPr>
        <w:tabs>
          <w:tab w:val="left" w:pos="6394"/>
        </w:tabs>
        <w:spacing w:line="360" w:lineRule="auto"/>
        <w:ind w:firstLine="850"/>
        <w:jc w:val="both"/>
      </w:pPr>
    </w:p>
    <w:p w:rsidR="00980728" w:rsidRDefault="00980728" w:rsidP="0032653F">
      <w:pPr>
        <w:tabs>
          <w:tab w:val="left" w:pos="6394"/>
        </w:tabs>
        <w:spacing w:line="360" w:lineRule="auto"/>
        <w:ind w:firstLine="850"/>
        <w:jc w:val="both"/>
      </w:pPr>
    </w:p>
    <w:p w:rsidR="00980728" w:rsidRDefault="00980728" w:rsidP="0032653F">
      <w:pPr>
        <w:tabs>
          <w:tab w:val="left" w:pos="6394"/>
        </w:tabs>
        <w:spacing w:line="360" w:lineRule="auto"/>
        <w:ind w:firstLine="850"/>
        <w:jc w:val="both"/>
      </w:pPr>
    </w:p>
    <w:p w:rsidR="00980728" w:rsidRDefault="00F767D9" w:rsidP="0032653F">
      <w:pPr>
        <w:tabs>
          <w:tab w:val="left" w:pos="6394"/>
        </w:tabs>
        <w:spacing w:line="360" w:lineRule="auto"/>
        <w:ind w:firstLine="850"/>
        <w:jc w:val="center"/>
      </w:pPr>
      <w:r>
        <w:t>ALLAN PINHO LYRA</w:t>
      </w:r>
    </w:p>
    <w:p w:rsidR="00980728" w:rsidRDefault="00F767D9" w:rsidP="0032653F">
      <w:pPr>
        <w:tabs>
          <w:tab w:val="left" w:pos="6394"/>
        </w:tabs>
        <w:spacing w:line="360" w:lineRule="auto"/>
        <w:ind w:firstLine="850"/>
        <w:jc w:val="center"/>
      </w:pPr>
      <w:r>
        <w:t>Vereador - PL</w:t>
      </w:r>
    </w:p>
    <w:p w:rsidR="00980728" w:rsidRDefault="00980728" w:rsidP="0032653F">
      <w:pPr>
        <w:tabs>
          <w:tab w:val="left" w:pos="6394"/>
        </w:tabs>
        <w:spacing w:line="360" w:lineRule="auto"/>
        <w:jc w:val="both"/>
        <w:rPr>
          <w:b/>
          <w:bCs/>
        </w:rPr>
      </w:pPr>
    </w:p>
    <w:p w:rsidR="00980728" w:rsidRDefault="00F767D9" w:rsidP="0032653F">
      <w:pPr>
        <w:tabs>
          <w:tab w:val="left" w:pos="6394"/>
        </w:tabs>
        <w:spacing w:line="276" w:lineRule="auto"/>
        <w:jc w:val="both"/>
        <w:rPr>
          <w:b/>
          <w:bCs/>
        </w:rPr>
      </w:pPr>
      <w:r>
        <w:rPr>
          <w:b/>
          <w:bCs/>
        </w:rPr>
        <w:t>JUSTIFICATIVA:</w:t>
      </w:r>
    </w:p>
    <w:p w:rsidR="00980728" w:rsidRDefault="00980728" w:rsidP="0032653F">
      <w:pPr>
        <w:tabs>
          <w:tab w:val="left" w:pos="6394"/>
        </w:tabs>
        <w:spacing w:line="276" w:lineRule="auto"/>
        <w:ind w:firstLine="850"/>
        <w:jc w:val="both"/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proofErr w:type="gramStart"/>
      <w:r w:rsidRPr="0032653F">
        <w:rPr>
          <w:b/>
          <w:color w:val="222222"/>
        </w:rPr>
        <w:t>1</w:t>
      </w:r>
      <w:proofErr w:type="gramEnd"/>
      <w:r w:rsidRPr="0032653F">
        <w:rPr>
          <w:b/>
          <w:color w:val="222222"/>
        </w:rPr>
        <w:t>)</w:t>
      </w:r>
      <w:r>
        <w:rPr>
          <w:color w:val="222222"/>
        </w:rPr>
        <w:t xml:space="preserve"> Objeto e referência normativa (paradigma do Rio de Janeiro)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 xml:space="preserve">Este Projeto reconhece o Centro de Niterói como “Bairro Imperial”, medida de valorização histórico-cultural sem qualquer alteração de limites, zoneamento ou nomes oficiais. O desenho reproduz a boa técnica já adotada na Lei nº 8.519/2024 (Rio de Janeiro), </w:t>
      </w:r>
      <w:r>
        <w:rPr>
          <w:color w:val="222222"/>
        </w:rPr>
        <w:t xml:space="preserve">que reconheceu o Centro carioca como Bairro Imperial, resguardando a inexistência de mudanças </w:t>
      </w:r>
      <w:proofErr w:type="gramStart"/>
      <w:r>
        <w:rPr>
          <w:color w:val="222222"/>
        </w:rPr>
        <w:t>territoriais/urbanísticas</w:t>
      </w:r>
      <w:proofErr w:type="gramEnd"/>
      <w:r>
        <w:rPr>
          <w:color w:val="222222"/>
        </w:rPr>
        <w:t xml:space="preserve"> e prevendo divulgação histórica e inserção adicional informativa em placas, inclusive com exemplos de nomes históricos (p.ex., antigo “R</w:t>
      </w:r>
      <w:r>
        <w:rPr>
          <w:color w:val="222222"/>
        </w:rPr>
        <w:t>ossio Grande” na Praça Tiradentes). 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proofErr w:type="gramStart"/>
      <w:r w:rsidRPr="0032653F">
        <w:rPr>
          <w:b/>
          <w:color w:val="222222"/>
        </w:rPr>
        <w:t>2</w:t>
      </w:r>
      <w:proofErr w:type="gramEnd"/>
      <w:r w:rsidRPr="0032653F">
        <w:rPr>
          <w:b/>
          <w:color w:val="222222"/>
        </w:rPr>
        <w:t>)</w:t>
      </w:r>
      <w:r>
        <w:rPr>
          <w:color w:val="222222"/>
        </w:rPr>
        <w:t xml:space="preserve"> Competência legislativa e fundamentos constitucionais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>A Constituição Federal autoriza os Municípios a legislar sobre assuntos de interesse local (art. 30, I) e a promover a proteção do patrimônio histórico-cultur</w:t>
      </w:r>
      <w:r>
        <w:rPr>
          <w:color w:val="222222"/>
        </w:rPr>
        <w:t>al local (art. 30, IX), enquanto o art. 216 define patrimônio cultural como o conjunto de bens e referências portadoras de identidade e memória — exatamente a finalidade do título “Bairro Imperial”. A iniciativa aqui é simbólica e cultural, sem efeitos urb</w:t>
      </w:r>
      <w:r>
        <w:rPr>
          <w:color w:val="222222"/>
        </w:rPr>
        <w:t>anísticos ou administrativos típicos do Executivo, razão pela qual não há vício de iniciativa. 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>No âmbito estadual, a política fluminense de patrimônio cultural (INEPAC e diplomas correlatos) reforça a salvaguarda de referências históricas e imateriais, coerente com a presente valorização simbólica. 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>A Lei Orgânica de Niterói também orienta a valori</w:t>
      </w:r>
      <w:r>
        <w:rPr>
          <w:color w:val="222222"/>
        </w:rPr>
        <w:t>zação da cultura e do patrimônio histórico, artístico e cultural no âmbito municipal, o que dá lastro local à iniciativa. </w:t>
      </w:r>
    </w:p>
    <w:p w:rsidR="00980728" w:rsidRDefault="00980728" w:rsidP="0032653F">
      <w:pPr>
        <w:shd w:val="clear" w:color="auto" w:fill="FFFFFF"/>
        <w:spacing w:line="276" w:lineRule="auto"/>
        <w:jc w:val="both"/>
        <w:rPr>
          <w:color w:val="222222"/>
        </w:rPr>
      </w:pP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proofErr w:type="gramStart"/>
      <w:r w:rsidRPr="0032653F">
        <w:rPr>
          <w:b/>
          <w:color w:val="222222"/>
        </w:rPr>
        <w:t>3</w:t>
      </w:r>
      <w:proofErr w:type="gramEnd"/>
      <w:r w:rsidRPr="0032653F">
        <w:rPr>
          <w:b/>
          <w:color w:val="222222"/>
        </w:rPr>
        <w:t>)</w:t>
      </w:r>
      <w:r>
        <w:rPr>
          <w:color w:val="222222"/>
        </w:rPr>
        <w:t xml:space="preserve"> Técnica legislativa, toponímia e responsabilidade fiscal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 xml:space="preserve">Para preservar a separação de Poderes e evitar impactos orçamentários </w:t>
      </w:r>
      <w:r>
        <w:rPr>
          <w:color w:val="222222"/>
        </w:rPr>
        <w:t xml:space="preserve">compulsórios, o texto não altera nomes oficiais, não muda perímetros e utiliza verbos no poderá (ações facultativas), com cláusula de condicionamento à disponibilidade orçamentária — conformando-se ao art. 16 da Lei de Responsabilidade Fiscal, cujo escopo </w:t>
      </w:r>
      <w:r>
        <w:rPr>
          <w:color w:val="222222"/>
        </w:rPr>
        <w:t>é exigir estimativa de impacto quando houver criação/expansão de ação governamental com aumento de despesa. Aqui, a lei é de reconhecimento simbólico e faculta ações de baixo custo e gradativas (educação patrimonial e sinalização informativa). 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>O paradigm</w:t>
      </w:r>
      <w:r>
        <w:rPr>
          <w:color w:val="222222"/>
        </w:rPr>
        <w:t>a do Rio comprovou a viabilidade dessa fórmula: reconhecimento simbólico + divulgação + inserção adicional informativa em placas, sem renomear logradouros — técnica que replicamos no art. 2º, §§ 1º e 2º. </w:t>
      </w:r>
    </w:p>
    <w:p w:rsidR="00980728" w:rsidRDefault="00980728" w:rsidP="0032653F">
      <w:pPr>
        <w:shd w:val="clear" w:color="auto" w:fill="FFFFFF"/>
        <w:spacing w:line="276" w:lineRule="auto"/>
        <w:jc w:val="both"/>
        <w:rPr>
          <w:color w:val="222222"/>
        </w:rPr>
      </w:pP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proofErr w:type="gramStart"/>
      <w:r w:rsidRPr="0032653F">
        <w:rPr>
          <w:b/>
          <w:color w:val="222222"/>
        </w:rPr>
        <w:t>4</w:t>
      </w:r>
      <w:proofErr w:type="gramEnd"/>
      <w:r w:rsidRPr="0032653F">
        <w:rPr>
          <w:b/>
          <w:color w:val="222222"/>
        </w:rPr>
        <w:t>)</w:t>
      </w:r>
      <w:r>
        <w:rPr>
          <w:color w:val="222222"/>
        </w:rPr>
        <w:t xml:space="preserve"> Por que “Bairro Imperial” também em Niterói? (</w:t>
      </w:r>
      <w:r>
        <w:rPr>
          <w:color w:val="222222"/>
        </w:rPr>
        <w:t>síntese histórico-cultural)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>Niterói foi capital do Estado do Rio de Janeiro por longos períodos (séculos XIX e XX), condição indissociável de sua identidade — fato atestado em fontes oficiais do Município (Prefeitura de Niterói). Tal centralidade política explica a concentração, no C</w:t>
      </w:r>
      <w:r>
        <w:rPr>
          <w:color w:val="222222"/>
        </w:rPr>
        <w:t xml:space="preserve">entro, de </w:t>
      </w:r>
      <w:proofErr w:type="gramStart"/>
      <w:r>
        <w:rPr>
          <w:color w:val="222222"/>
        </w:rPr>
        <w:t>marcos cívicos e religiosos</w:t>
      </w:r>
      <w:proofErr w:type="gramEnd"/>
      <w:r>
        <w:rPr>
          <w:color w:val="222222"/>
        </w:rPr>
        <w:t>, sedes e equipamentos culturais históricos. 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 xml:space="preserve">Entre </w:t>
      </w:r>
      <w:proofErr w:type="gramStart"/>
      <w:r>
        <w:rPr>
          <w:color w:val="222222"/>
        </w:rPr>
        <w:t>esses marcos</w:t>
      </w:r>
      <w:proofErr w:type="gramEnd"/>
      <w:r>
        <w:rPr>
          <w:color w:val="222222"/>
        </w:rPr>
        <w:t xml:space="preserve"> destacam-se: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1842"/>
        <w:jc w:val="both"/>
        <w:rPr>
          <w:color w:val="222222"/>
        </w:rPr>
      </w:pPr>
      <w:r>
        <w:rPr>
          <w:color w:val="222222"/>
        </w:rPr>
        <w:t>A Catedral de São João Batista, templo oitocentista situado no Jardim São João, referência religiosa e patrimonial do Centro; </w:t>
      </w:r>
    </w:p>
    <w:p w:rsidR="00980728" w:rsidRDefault="00980728" w:rsidP="0032653F">
      <w:pPr>
        <w:shd w:val="clear" w:color="auto" w:fill="FFFFFF"/>
        <w:spacing w:line="276" w:lineRule="auto"/>
        <w:ind w:left="1842" w:hanging="360"/>
        <w:jc w:val="both"/>
        <w:rPr>
          <w:color w:val="222222"/>
        </w:rPr>
      </w:pPr>
    </w:p>
    <w:p w:rsidR="00980728" w:rsidRDefault="00F767D9" w:rsidP="0032653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1842"/>
        <w:jc w:val="both"/>
        <w:rPr>
          <w:color w:val="222222"/>
        </w:rPr>
      </w:pPr>
      <w:r>
        <w:rPr>
          <w:color w:val="222222"/>
        </w:rPr>
        <w:t xml:space="preserve">O Paço/Palácio </w:t>
      </w:r>
      <w:proofErr w:type="spellStart"/>
      <w:r>
        <w:rPr>
          <w:color w:val="222222"/>
        </w:rPr>
        <w:t>Arariboia</w:t>
      </w:r>
      <w:proofErr w:type="spellEnd"/>
      <w:r>
        <w:rPr>
          <w:color w:val="222222"/>
        </w:rPr>
        <w:t>, primeira sede da Prefeitura (1910), hoje com uso público e memória preservada; </w:t>
      </w:r>
    </w:p>
    <w:p w:rsidR="00980728" w:rsidRDefault="00980728" w:rsidP="0032653F">
      <w:pPr>
        <w:shd w:val="clear" w:color="auto" w:fill="FFFFFF"/>
        <w:spacing w:line="276" w:lineRule="auto"/>
        <w:ind w:left="1842" w:hanging="360"/>
        <w:jc w:val="both"/>
        <w:rPr>
          <w:color w:val="222222"/>
        </w:rPr>
      </w:pPr>
    </w:p>
    <w:p w:rsidR="00980728" w:rsidRDefault="00F767D9" w:rsidP="0032653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1842"/>
        <w:jc w:val="both"/>
        <w:rPr>
          <w:color w:val="222222"/>
        </w:rPr>
      </w:pPr>
      <w:r>
        <w:rPr>
          <w:color w:val="222222"/>
        </w:rPr>
        <w:t xml:space="preserve">O </w:t>
      </w:r>
      <w:proofErr w:type="spellStart"/>
      <w:r>
        <w:rPr>
          <w:color w:val="222222"/>
        </w:rPr>
        <w:t>Theatro</w:t>
      </w:r>
      <w:proofErr w:type="spellEnd"/>
      <w:r>
        <w:rPr>
          <w:color w:val="222222"/>
        </w:rPr>
        <w:t xml:space="preserve"> Municipal João Caetano, equipamento histórico-artístico tombado pelo INEPAC, símbolo da vida cultural niteroiense. 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>Cultura é um Direito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>Essas referências, entre outras, sustentam o título honorífico ao bairro — título que não cria privilégios urbanísticos nem altera a gestão urbana, mas consolida a narrativa histórica e apoia o turismo cultural (educação patrimonial, rotas interpretativas,</w:t>
      </w:r>
      <w:r>
        <w:rPr>
          <w:color w:val="222222"/>
        </w:rPr>
        <w:t xml:space="preserve"> sinalização contextualizada), na linha do que já se praticou no Rio. 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 xml:space="preserve">Lei </w:t>
      </w:r>
      <w:proofErr w:type="spellStart"/>
      <w:r>
        <w:rPr>
          <w:color w:val="222222"/>
        </w:rPr>
        <w:t>Ordinária</w:t>
      </w:r>
      <w:proofErr w:type="spellEnd"/>
      <w:r>
        <w:rPr>
          <w:color w:val="222222"/>
        </w:rPr>
        <w:t xml:space="preserve"> 8519 2024 do Rio de Janeiro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proofErr w:type="gramStart"/>
      <w:r w:rsidRPr="0032653F">
        <w:rPr>
          <w:b/>
          <w:color w:val="222222"/>
        </w:rPr>
        <w:t>5</w:t>
      </w:r>
      <w:proofErr w:type="gramEnd"/>
      <w:r w:rsidRPr="0032653F">
        <w:rPr>
          <w:b/>
          <w:color w:val="222222"/>
        </w:rPr>
        <w:t>)</w:t>
      </w:r>
      <w:r>
        <w:rPr>
          <w:color w:val="222222"/>
        </w:rPr>
        <w:t xml:space="preserve"> Impactos esperados (cultura, turismo e educação patrimonial)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>O reconhecimento:</w:t>
      </w: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 w:rsidRPr="0032653F">
        <w:rPr>
          <w:b/>
          <w:color w:val="222222"/>
        </w:rPr>
        <w:t>(i)</w:t>
      </w:r>
      <w:r>
        <w:rPr>
          <w:color w:val="222222"/>
        </w:rPr>
        <w:t xml:space="preserve"> fortalece a identidade do Centro como sítio de memóri</w:t>
      </w:r>
      <w:r>
        <w:rPr>
          <w:color w:val="222222"/>
        </w:rPr>
        <w:t>a;</w:t>
      </w: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 w:rsidRPr="0032653F">
        <w:rPr>
          <w:b/>
          <w:color w:val="222222"/>
        </w:rPr>
        <w:t>(</w:t>
      </w:r>
      <w:proofErr w:type="spellStart"/>
      <w:r w:rsidRPr="0032653F">
        <w:rPr>
          <w:b/>
          <w:color w:val="222222"/>
        </w:rPr>
        <w:t>ii</w:t>
      </w:r>
      <w:proofErr w:type="spellEnd"/>
      <w:r w:rsidRPr="0032653F">
        <w:rPr>
          <w:b/>
          <w:color w:val="222222"/>
        </w:rPr>
        <w:t>)</w:t>
      </w:r>
      <w:r>
        <w:rPr>
          <w:color w:val="222222"/>
        </w:rPr>
        <w:t xml:space="preserve"> organiza a comunicação pública (placas/roteiros) sem custos relevantes e sem obrigações automáticas;</w:t>
      </w: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 w:rsidRPr="0032653F">
        <w:rPr>
          <w:b/>
          <w:color w:val="222222"/>
        </w:rPr>
        <w:t>(</w:t>
      </w:r>
      <w:proofErr w:type="spellStart"/>
      <w:r w:rsidRPr="0032653F">
        <w:rPr>
          <w:b/>
          <w:color w:val="222222"/>
        </w:rPr>
        <w:t>iii</w:t>
      </w:r>
      <w:proofErr w:type="spellEnd"/>
      <w:r w:rsidRPr="0032653F">
        <w:rPr>
          <w:b/>
          <w:color w:val="222222"/>
        </w:rPr>
        <w:t>)</w:t>
      </w:r>
      <w:r>
        <w:rPr>
          <w:color w:val="222222"/>
        </w:rPr>
        <w:t xml:space="preserve"> favorece roteiros de visitação (cívico-religiosos, arquitetônicos e artísticos) em parceria com a FAN, escolas e setor turístico;</w:t>
      </w: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 w:rsidRPr="0032653F">
        <w:rPr>
          <w:b/>
          <w:color w:val="222222"/>
        </w:rPr>
        <w:t>(</w:t>
      </w:r>
      <w:proofErr w:type="spellStart"/>
      <w:r w:rsidRPr="0032653F">
        <w:rPr>
          <w:b/>
          <w:color w:val="222222"/>
        </w:rPr>
        <w:t>iv</w:t>
      </w:r>
      <w:proofErr w:type="spellEnd"/>
      <w:r w:rsidRPr="0032653F">
        <w:rPr>
          <w:b/>
          <w:color w:val="222222"/>
        </w:rPr>
        <w:t>)</w:t>
      </w:r>
      <w:r>
        <w:rPr>
          <w:color w:val="222222"/>
        </w:rPr>
        <w:t xml:space="preserve"> estimu</w:t>
      </w:r>
      <w:r>
        <w:rPr>
          <w:color w:val="222222"/>
        </w:rPr>
        <w:t>la preservação pela conscientização cidadã, coerente com as diretrizes constitucionais e locais de proteção cultural. 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proofErr w:type="gramStart"/>
      <w:r w:rsidRPr="0032653F">
        <w:rPr>
          <w:b/>
          <w:color w:val="222222"/>
        </w:rPr>
        <w:t>6</w:t>
      </w:r>
      <w:proofErr w:type="gramEnd"/>
      <w:r w:rsidRPr="0032653F">
        <w:rPr>
          <w:b/>
          <w:color w:val="222222"/>
        </w:rPr>
        <w:t>)</w:t>
      </w:r>
      <w:r>
        <w:rPr>
          <w:color w:val="222222"/>
        </w:rPr>
        <w:t xml:space="preserve"> Conclusão</w:t>
      </w:r>
    </w:p>
    <w:p w:rsidR="00980728" w:rsidRDefault="00980728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</w:p>
    <w:p w:rsidR="00980728" w:rsidRDefault="00F767D9" w:rsidP="0032653F">
      <w:pPr>
        <w:shd w:val="clear" w:color="auto" w:fill="FFFFFF"/>
        <w:spacing w:line="276" w:lineRule="auto"/>
        <w:ind w:firstLine="850"/>
        <w:jc w:val="both"/>
        <w:rPr>
          <w:color w:val="222222"/>
        </w:rPr>
      </w:pPr>
      <w:r>
        <w:rPr>
          <w:color w:val="222222"/>
        </w:rPr>
        <w:t>A proposição é juridicamente viável e oportuna: situa-se no interesse local e na proteção do patrimônio histórico-cultural</w:t>
      </w:r>
      <w:r>
        <w:rPr>
          <w:color w:val="222222"/>
        </w:rPr>
        <w:t xml:space="preserve"> (CF, art. 30, I e IX; art. 216), replica técnica já validada na capital fluminense (Lei 8.519/2024), resguarda a LRF com ações facultativas e não toca em limites, zoneamento ou nomes oficiais. Por isso, requer-se a aprovação.</w:t>
      </w:r>
    </w:p>
    <w:p w:rsidR="00980728" w:rsidRDefault="00980728">
      <w:pPr>
        <w:spacing w:line="360" w:lineRule="auto"/>
        <w:ind w:firstLine="850"/>
        <w:jc w:val="both"/>
      </w:pPr>
    </w:p>
    <w:sectPr w:rsidR="00980728">
      <w:headerReference w:type="default" r:id="rId9"/>
      <w:footerReference w:type="default" r:id="rId10"/>
      <w:pgSz w:w="11906" w:h="16838"/>
      <w:pgMar w:top="993" w:right="1422" w:bottom="1417" w:left="1275" w:header="28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7D9" w:rsidRDefault="00F767D9">
      <w:r>
        <w:separator/>
      </w:r>
    </w:p>
  </w:endnote>
  <w:endnote w:type="continuationSeparator" w:id="0">
    <w:p w:rsidR="00F767D9" w:rsidRDefault="00F7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1EC37900-D547-468C-BAA1-2FC54143389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CF7B2752-4BC0-4428-92AD-0DD51A4AA29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8F20A56D-FE46-4A8F-8EAB-82A8290236B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CF37F41-DDE2-475D-A1E9-44AF9EF2A04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728" w:rsidRDefault="00F767D9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color w:val="262626"/>
      </w:rPr>
    </w:pPr>
    <w:r>
      <w:rPr>
        <w:color w:val="262626"/>
      </w:rPr>
      <w:t xml:space="preserve">Av. Ernani do Amaral Peixoto, n. 625, </w:t>
    </w:r>
    <w:proofErr w:type="spellStart"/>
    <w:r>
      <w:rPr>
        <w:color w:val="262626"/>
      </w:rPr>
      <w:t>Gab</w:t>
    </w:r>
    <w:proofErr w:type="spellEnd"/>
    <w:r>
      <w:rPr>
        <w:color w:val="262626"/>
      </w:rPr>
      <w:t xml:space="preserve">. Nº 68, Centro Niterói, CEP </w:t>
    </w:r>
    <w:proofErr w:type="gramStart"/>
    <w:r>
      <w:rPr>
        <w:color w:val="262626"/>
      </w:rPr>
      <w:t>24.020.073</w:t>
    </w:r>
    <w:proofErr w:type="gramEnd"/>
  </w:p>
  <w:p w:rsidR="00980728" w:rsidRDefault="00F767D9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rFonts w:ascii="Arial" w:eastAsia="Arial" w:hAnsi="Arial" w:cs="Arial"/>
        <w:color w:val="262626"/>
      </w:rPr>
    </w:pPr>
    <w:r>
      <w:rPr>
        <w:color w:val="262626"/>
      </w:rPr>
      <w:t>Telefones: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7D9" w:rsidRDefault="00F767D9">
      <w:r>
        <w:separator/>
      </w:r>
    </w:p>
  </w:footnote>
  <w:footnote w:type="continuationSeparator" w:id="0">
    <w:p w:rsidR="00F767D9" w:rsidRDefault="00F767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728" w:rsidRDefault="00F767D9">
    <w:pPr>
      <w:pBdr>
        <w:bottom w:val="single" w:sz="4" w:space="1" w:color="000000"/>
      </w:pBdr>
      <w:jc w:val="center"/>
      <w:rPr>
        <w:color w:val="000000"/>
      </w:rPr>
    </w:pPr>
    <w:r>
      <w:rPr>
        <w:noProof/>
        <w:sz w:val="28"/>
        <w:szCs w:val="28"/>
      </w:rPr>
      <w:drawing>
        <wp:inline distT="0" distB="0" distL="0" distR="0">
          <wp:extent cx="497737" cy="617195"/>
          <wp:effectExtent l="0" t="0" r="0" b="0"/>
          <wp:docPr id="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80728" w:rsidRDefault="00F767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36"/>
        <w:szCs w:val="36"/>
      </w:rPr>
    </w:pPr>
    <w:r>
      <w:rPr>
        <w:b/>
        <w:bCs/>
        <w:color w:val="000000"/>
        <w:sz w:val="36"/>
        <w:szCs w:val="36"/>
      </w:rPr>
      <w:t>Câmara Municipal de Niterói</w:t>
    </w:r>
  </w:p>
  <w:p w:rsidR="00980728" w:rsidRDefault="00F767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>Gabinete Vereador Allan Lyra</w:t>
    </w:r>
  </w:p>
  <w:p w:rsidR="00980728" w:rsidRDefault="009807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E50A2"/>
    <w:multiLevelType w:val="multilevel"/>
    <w:tmpl w:val="19DC70F6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">
    <w:nsid w:val="14A95E5F"/>
    <w:multiLevelType w:val="multilevel"/>
    <w:tmpl w:val="3530E140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2">
    <w:nsid w:val="29F01F21"/>
    <w:multiLevelType w:val="multilevel"/>
    <w:tmpl w:val="BE1EFA20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0728"/>
    <w:rsid w:val="0032653F"/>
    <w:rsid w:val="00980728"/>
    <w:rsid w:val="00F7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41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41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2194B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41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41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2194B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FJKpCUjGCW8KhQ9vZ7UdfcBRiA==">CgMxLjAyDmguc2J6cHFlaXhjMnRmOAByITF3Sk85NjdKUW8waFVhRzJQbmt6aERjUHpSYm50VWFBeA==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988</Words>
  <Characters>5340</Characters>
  <Application>Microsoft Office Word</Application>
  <DocSecurity>0</DocSecurity>
  <Lines>44</Lines>
  <Paragraphs>12</Paragraphs>
  <ScaleCrop>false</ScaleCrop>
  <Company/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2025-09-11T21:43:00Z</dcterms:created>
  <dcterms:modified xsi:type="dcterms:W3CDTF">2026-03-04T19:25:00Z</dcterms:modified>
</cp:coreProperties>
</file>