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48" w:rsidRPr="00E43B03" w:rsidRDefault="00B24CF3">
      <w:pPr>
        <w:shd w:val="clear" w:color="auto" w:fill="FFFFFF"/>
        <w:spacing w:line="276" w:lineRule="auto"/>
        <w:jc w:val="right"/>
        <w:rPr>
          <w:rFonts w:ascii="Tahoma" w:eastAsia="Tahoma" w:hAnsi="Tahoma" w:cs="Tahoma"/>
          <w:b/>
        </w:rPr>
      </w:pPr>
      <w:r w:rsidRPr="00E43B03">
        <w:rPr>
          <w:rFonts w:ascii="Tahoma" w:eastAsia="Tahoma" w:hAnsi="Tahoma" w:cs="Tahoma"/>
        </w:rPr>
        <w:t xml:space="preserve">Niterói, </w:t>
      </w:r>
      <w:r w:rsidR="0018124E" w:rsidRPr="00E43B03">
        <w:rPr>
          <w:rFonts w:ascii="Tahoma" w:eastAsia="Tahoma" w:hAnsi="Tahoma" w:cs="Tahoma"/>
        </w:rPr>
        <w:t>09</w:t>
      </w:r>
      <w:r w:rsidRPr="00E43B03">
        <w:rPr>
          <w:rFonts w:ascii="Tahoma" w:eastAsia="Tahoma" w:hAnsi="Tahoma" w:cs="Tahoma"/>
        </w:rPr>
        <w:t xml:space="preserve"> de </w:t>
      </w:r>
      <w:r w:rsidR="0018124E" w:rsidRPr="00E43B03">
        <w:rPr>
          <w:rFonts w:ascii="Tahoma" w:eastAsia="Tahoma" w:hAnsi="Tahoma" w:cs="Tahoma"/>
        </w:rPr>
        <w:t>dezembro</w:t>
      </w:r>
      <w:r w:rsidRPr="00E43B03">
        <w:rPr>
          <w:rFonts w:ascii="Tahoma" w:eastAsia="Tahoma" w:hAnsi="Tahoma" w:cs="Tahoma"/>
        </w:rPr>
        <w:t xml:space="preserve"> de 202</w:t>
      </w:r>
      <w:r w:rsidR="00CD7C98" w:rsidRPr="00E43B03">
        <w:rPr>
          <w:rFonts w:ascii="Tahoma" w:eastAsia="Tahoma" w:hAnsi="Tahoma" w:cs="Tahoma"/>
        </w:rPr>
        <w:t>5</w:t>
      </w:r>
      <w:r w:rsidRPr="00E43B03">
        <w:rPr>
          <w:rFonts w:ascii="Tahoma" w:eastAsia="Tahoma" w:hAnsi="Tahoma" w:cs="Tahoma"/>
        </w:rPr>
        <w:t>.</w:t>
      </w:r>
    </w:p>
    <w:p w:rsidR="00C05F48" w:rsidRDefault="00C05F48">
      <w:pPr>
        <w:spacing w:line="276" w:lineRule="auto"/>
        <w:jc w:val="both"/>
        <w:rPr>
          <w:rFonts w:ascii="Tahoma" w:eastAsia="Tahoma" w:hAnsi="Tahoma" w:cs="Tahoma"/>
          <w:b/>
        </w:rPr>
      </w:pPr>
      <w:bookmarkStart w:id="0" w:name="_heading=h.6dtw82ie7vxd" w:colFirst="0" w:colLast="0"/>
      <w:bookmarkEnd w:id="0"/>
    </w:p>
    <w:p w:rsidR="00E43B03" w:rsidRPr="00E43B03" w:rsidRDefault="00E43B03">
      <w:pPr>
        <w:spacing w:line="276" w:lineRule="auto"/>
        <w:jc w:val="both"/>
        <w:rPr>
          <w:rFonts w:ascii="Tahoma" w:eastAsia="Tahoma" w:hAnsi="Tahoma" w:cs="Tahoma"/>
          <w:b/>
        </w:rPr>
      </w:pPr>
    </w:p>
    <w:p w:rsidR="00680952" w:rsidRPr="00E43B03" w:rsidRDefault="00680952">
      <w:pPr>
        <w:spacing w:line="276" w:lineRule="auto"/>
        <w:jc w:val="both"/>
        <w:rPr>
          <w:rFonts w:ascii="Tahoma" w:eastAsia="Tahoma" w:hAnsi="Tahoma" w:cs="Tahoma"/>
          <w:b/>
        </w:rPr>
      </w:pPr>
      <w:bookmarkStart w:id="1" w:name="_heading=h.gjdgxs" w:colFirst="0" w:colLast="0"/>
      <w:bookmarkEnd w:id="1"/>
    </w:p>
    <w:p w:rsidR="00C05F48" w:rsidRPr="00E43B03" w:rsidRDefault="00B24CF3">
      <w:pPr>
        <w:spacing w:line="276" w:lineRule="auto"/>
        <w:jc w:val="both"/>
        <w:rPr>
          <w:rFonts w:ascii="Tahoma" w:eastAsia="Tahoma" w:hAnsi="Tahoma" w:cs="Tahoma"/>
        </w:rPr>
      </w:pPr>
      <w:r w:rsidRPr="00E43B03">
        <w:rPr>
          <w:rFonts w:ascii="Tahoma" w:eastAsia="Tahoma" w:hAnsi="Tahoma" w:cs="Tahoma"/>
          <w:b/>
        </w:rPr>
        <w:t>Parecer C</w:t>
      </w:r>
      <w:r w:rsidR="00CD7C98" w:rsidRPr="00E43B03">
        <w:rPr>
          <w:rFonts w:ascii="Tahoma" w:eastAsia="Tahoma" w:hAnsi="Tahoma" w:cs="Tahoma"/>
          <w:b/>
        </w:rPr>
        <w:t>A</w:t>
      </w:r>
      <w:r w:rsidRPr="00E43B03">
        <w:rPr>
          <w:rFonts w:ascii="Tahoma" w:eastAsia="Tahoma" w:hAnsi="Tahoma" w:cs="Tahoma"/>
          <w:b/>
        </w:rPr>
        <w:t>D</w:t>
      </w:r>
      <w:r w:rsidR="00CD7C98" w:rsidRPr="00E43B03">
        <w:rPr>
          <w:rFonts w:ascii="Tahoma" w:eastAsia="Tahoma" w:hAnsi="Tahoma" w:cs="Tahoma"/>
          <w:b/>
        </w:rPr>
        <w:t>A</w:t>
      </w:r>
      <w:r w:rsidRPr="00E43B03">
        <w:rPr>
          <w:rFonts w:ascii="Tahoma" w:eastAsia="Tahoma" w:hAnsi="Tahoma" w:cs="Tahoma"/>
          <w:b/>
        </w:rPr>
        <w:t xml:space="preserve"> Nº. ____/202</w:t>
      </w:r>
      <w:r w:rsidR="00CD7C98" w:rsidRPr="00E43B03">
        <w:rPr>
          <w:rFonts w:ascii="Tahoma" w:eastAsia="Tahoma" w:hAnsi="Tahoma" w:cs="Tahoma"/>
          <w:b/>
        </w:rPr>
        <w:t>5</w:t>
      </w:r>
    </w:p>
    <w:p w:rsidR="00C05F48" w:rsidRPr="00E43B03" w:rsidRDefault="00C05F48">
      <w:pPr>
        <w:spacing w:line="276" w:lineRule="auto"/>
        <w:jc w:val="both"/>
        <w:rPr>
          <w:rFonts w:ascii="Tahoma" w:eastAsia="Tahoma" w:hAnsi="Tahoma" w:cs="Tahoma"/>
          <w:b/>
        </w:rPr>
      </w:pPr>
    </w:p>
    <w:p w:rsidR="00C05F48" w:rsidRDefault="00C05F48">
      <w:pPr>
        <w:spacing w:line="276" w:lineRule="auto"/>
        <w:jc w:val="both"/>
        <w:rPr>
          <w:rFonts w:ascii="Tahoma" w:eastAsia="Tahoma" w:hAnsi="Tahoma" w:cs="Tahoma"/>
          <w:b/>
        </w:rPr>
      </w:pPr>
    </w:p>
    <w:p w:rsidR="00E43B03" w:rsidRPr="00E43B03" w:rsidRDefault="00E43B03">
      <w:pPr>
        <w:spacing w:line="276" w:lineRule="auto"/>
        <w:jc w:val="both"/>
        <w:rPr>
          <w:rFonts w:ascii="Tahoma" w:eastAsia="Tahoma" w:hAnsi="Tahoma" w:cs="Tahoma"/>
          <w:b/>
        </w:rPr>
      </w:pPr>
    </w:p>
    <w:p w:rsidR="00C05F48" w:rsidRPr="00E43B03" w:rsidRDefault="00B24CF3">
      <w:pPr>
        <w:spacing w:line="276" w:lineRule="auto"/>
        <w:jc w:val="both"/>
        <w:rPr>
          <w:rFonts w:ascii="Tahoma" w:eastAsia="Tahoma" w:hAnsi="Tahoma" w:cs="Tahoma"/>
          <w:b/>
        </w:rPr>
      </w:pPr>
      <w:r w:rsidRPr="00E43B03">
        <w:rPr>
          <w:rFonts w:ascii="Tahoma" w:eastAsia="Tahoma" w:hAnsi="Tahoma" w:cs="Tahoma"/>
          <w:b/>
        </w:rPr>
        <w:t xml:space="preserve">Projeto de Lei nº </w:t>
      </w:r>
      <w:r w:rsidR="0018124E" w:rsidRPr="00E43B03">
        <w:rPr>
          <w:rFonts w:ascii="Tahoma" w:eastAsia="Tahoma" w:hAnsi="Tahoma" w:cs="Tahoma"/>
          <w:b/>
        </w:rPr>
        <w:t>44</w:t>
      </w:r>
      <w:r w:rsidR="0051066D" w:rsidRPr="00E43B03">
        <w:rPr>
          <w:rFonts w:ascii="Tahoma" w:eastAsia="Tahoma" w:hAnsi="Tahoma" w:cs="Tahoma"/>
          <w:b/>
        </w:rPr>
        <w:t>4</w:t>
      </w:r>
      <w:r w:rsidRPr="00E43B03">
        <w:rPr>
          <w:rFonts w:ascii="Tahoma" w:eastAsia="Tahoma" w:hAnsi="Tahoma" w:cs="Tahoma"/>
          <w:b/>
        </w:rPr>
        <w:t>/202</w:t>
      </w:r>
      <w:r w:rsidR="002A618B" w:rsidRPr="00E43B03">
        <w:rPr>
          <w:rFonts w:ascii="Tahoma" w:eastAsia="Tahoma" w:hAnsi="Tahoma" w:cs="Tahoma"/>
          <w:b/>
        </w:rPr>
        <w:t>5</w:t>
      </w:r>
    </w:p>
    <w:p w:rsidR="00C05F48" w:rsidRDefault="00C05F48">
      <w:pPr>
        <w:spacing w:line="276" w:lineRule="auto"/>
        <w:jc w:val="both"/>
        <w:rPr>
          <w:rFonts w:ascii="Tahoma" w:eastAsia="Tahoma" w:hAnsi="Tahoma" w:cs="Tahoma"/>
        </w:rPr>
      </w:pPr>
    </w:p>
    <w:p w:rsidR="00E43B03" w:rsidRPr="00E43B03" w:rsidRDefault="00E43B03">
      <w:pPr>
        <w:spacing w:line="276" w:lineRule="auto"/>
        <w:jc w:val="both"/>
        <w:rPr>
          <w:rFonts w:ascii="Tahoma" w:eastAsia="Tahoma" w:hAnsi="Tahoma" w:cs="Tahoma"/>
        </w:rPr>
      </w:pPr>
    </w:p>
    <w:p w:rsidR="00C05F48" w:rsidRPr="00E43B03" w:rsidRDefault="00B24CF3">
      <w:pPr>
        <w:spacing w:line="276" w:lineRule="auto"/>
        <w:jc w:val="both"/>
        <w:rPr>
          <w:rFonts w:ascii="Tahoma" w:eastAsia="Tahoma" w:hAnsi="Tahoma" w:cs="Tahoma"/>
        </w:rPr>
      </w:pPr>
      <w:r w:rsidRPr="00E43B03">
        <w:rPr>
          <w:rFonts w:ascii="Tahoma" w:eastAsia="Tahoma" w:hAnsi="Tahoma" w:cs="Tahoma"/>
          <w:b/>
        </w:rPr>
        <w:t>Autor:</w:t>
      </w:r>
      <w:r w:rsidRPr="00E43B03">
        <w:rPr>
          <w:rFonts w:ascii="Tahoma" w:eastAsia="Tahoma" w:hAnsi="Tahoma" w:cs="Tahoma"/>
        </w:rPr>
        <w:t xml:space="preserve"> </w:t>
      </w:r>
      <w:r w:rsidR="0018124E" w:rsidRPr="00E43B03">
        <w:rPr>
          <w:rFonts w:ascii="Tahoma" w:eastAsia="Tahoma" w:hAnsi="Tahoma" w:cs="Tahoma"/>
        </w:rPr>
        <w:t>Roberto Fernandes Jales</w:t>
      </w:r>
    </w:p>
    <w:p w:rsidR="00C05F48" w:rsidRDefault="00C05F48">
      <w:pPr>
        <w:spacing w:line="276" w:lineRule="auto"/>
        <w:jc w:val="both"/>
        <w:rPr>
          <w:rFonts w:ascii="Tahoma" w:eastAsia="Tahoma" w:hAnsi="Tahoma" w:cs="Tahoma"/>
          <w:b/>
        </w:rPr>
      </w:pPr>
    </w:p>
    <w:p w:rsidR="00E43B03" w:rsidRPr="00E43B03" w:rsidRDefault="00E43B03">
      <w:pPr>
        <w:spacing w:line="276" w:lineRule="auto"/>
        <w:jc w:val="both"/>
        <w:rPr>
          <w:rFonts w:ascii="Tahoma" w:eastAsia="Tahoma" w:hAnsi="Tahoma" w:cs="Tahoma"/>
          <w:b/>
        </w:rPr>
      </w:pPr>
    </w:p>
    <w:p w:rsidR="00407848" w:rsidRPr="00E43B03" w:rsidRDefault="00B24CF3" w:rsidP="00C3749D">
      <w:pPr>
        <w:pStyle w:val="NormalWeb"/>
        <w:spacing w:before="240" w:after="240" w:line="360" w:lineRule="auto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eastAsia="Tahoma" w:hAnsi="Tahoma" w:cs="Tahoma"/>
          <w:b/>
          <w:sz w:val="22"/>
          <w:szCs w:val="22"/>
        </w:rPr>
        <w:t>Ementa:</w:t>
      </w:r>
      <w:r w:rsidRPr="00E43B03">
        <w:rPr>
          <w:rFonts w:ascii="Tahoma" w:eastAsia="Tahoma" w:hAnsi="Tahoma" w:cs="Tahoma"/>
          <w:sz w:val="22"/>
          <w:szCs w:val="22"/>
        </w:rPr>
        <w:t xml:space="preserve"> </w:t>
      </w:r>
      <w:r w:rsidR="00407848" w:rsidRPr="00E43B03">
        <w:rPr>
          <w:rFonts w:ascii="Tahoma" w:hAnsi="Tahoma" w:cs="Tahoma"/>
          <w:sz w:val="22"/>
          <w:szCs w:val="22"/>
        </w:rPr>
        <w:t>"</w:t>
      </w:r>
      <w:r w:rsidR="0018124E" w:rsidRPr="00E43B03">
        <w:rPr>
          <w:rFonts w:ascii="Tahoma" w:hAnsi="Tahoma" w:cs="Tahoma"/>
          <w:sz w:val="22"/>
          <w:szCs w:val="22"/>
        </w:rPr>
        <w:t>Institui o Programa Municipal de Regularização do Serviço de Caminhão-Pipa, assegura pontos municipais de captação, estabelece regras de regularização sanitária e ambiental de fontes alternativas de água potável, e dá outras providência</w:t>
      </w:r>
      <w:r w:rsidR="0051066D" w:rsidRPr="00E43B03">
        <w:rPr>
          <w:rFonts w:ascii="Tahoma" w:hAnsi="Tahoma" w:cs="Tahoma"/>
          <w:sz w:val="22"/>
          <w:szCs w:val="22"/>
        </w:rPr>
        <w:t>.</w:t>
      </w:r>
      <w:r w:rsidR="00407848" w:rsidRPr="00E43B03">
        <w:rPr>
          <w:rFonts w:ascii="Tahoma" w:hAnsi="Tahoma" w:cs="Tahoma"/>
          <w:sz w:val="22"/>
          <w:szCs w:val="22"/>
        </w:rPr>
        <w:t>"</w:t>
      </w:r>
    </w:p>
    <w:p w:rsidR="00E855B8" w:rsidRPr="00E43B03" w:rsidRDefault="00E855B8" w:rsidP="00E855B8">
      <w:pPr>
        <w:spacing w:line="276" w:lineRule="auto"/>
        <w:jc w:val="both"/>
        <w:rPr>
          <w:rFonts w:ascii="Tahoma" w:eastAsia="Tahoma" w:hAnsi="Tahoma" w:cs="Tahoma"/>
          <w:sz w:val="22"/>
          <w:szCs w:val="22"/>
        </w:rPr>
      </w:pPr>
      <w:r w:rsidRPr="00E43B03">
        <w:rPr>
          <w:rFonts w:ascii="Tahoma" w:eastAsia="Tahoma" w:hAnsi="Tahoma" w:cs="Tahoma"/>
          <w:b/>
          <w:sz w:val="22"/>
          <w:szCs w:val="22"/>
        </w:rPr>
        <w:t>Voto do relator: Presidente da CADA Vereador Daniel Marques</w:t>
      </w:r>
    </w:p>
    <w:p w:rsidR="0018124E" w:rsidRPr="00E43B03" w:rsidRDefault="0018124E" w:rsidP="0018124E">
      <w:pPr>
        <w:rPr>
          <w:rFonts w:ascii="Tahoma" w:hAnsi="Tahoma" w:cs="Tahoma"/>
          <w:sz w:val="22"/>
          <w:szCs w:val="22"/>
        </w:rPr>
      </w:pPr>
    </w:p>
    <w:p w:rsidR="0018124E" w:rsidRPr="00E43B03" w:rsidRDefault="0018124E" w:rsidP="0018124E">
      <w:pPr>
        <w:pStyle w:val="Ttulo2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I – RELATÓRIO</w:t>
      </w:r>
    </w:p>
    <w:p w:rsidR="00FE2BC2" w:rsidRPr="00E43B03" w:rsidRDefault="00FE2BC2" w:rsidP="00FE2BC2">
      <w:pPr>
        <w:pStyle w:val="NormalWeb"/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O Projeto de Lei nº 444/2025, de autoria do Vereador Roberto Fernandes Jales – Beto da Pipa, </w:t>
      </w:r>
      <w:r w:rsidR="005C1EBD" w:rsidRPr="00E43B03">
        <w:rPr>
          <w:rFonts w:ascii="Tahoma" w:hAnsi="Tahoma" w:cs="Tahoma"/>
          <w:sz w:val="22"/>
          <w:szCs w:val="22"/>
        </w:rPr>
        <w:t xml:space="preserve">tem por finalidade instituir, no âmbito do Município de Niterói, </w:t>
      </w:r>
      <w:r w:rsidRPr="00E43B03">
        <w:rPr>
          <w:rFonts w:ascii="Tahoma" w:hAnsi="Tahoma" w:cs="Tahoma"/>
          <w:sz w:val="22"/>
          <w:szCs w:val="22"/>
        </w:rPr>
        <w:t>o Programa Municipal de Regularização do Serviço de Caminhão-Pipa, estabelece pontos municipais de captação, cria mecanismos de regularização sanitária e ambiental de fontes alternativas e dá outras providências</w:t>
      </w:r>
    </w:p>
    <w:p w:rsidR="0018124E" w:rsidRPr="00E43B03" w:rsidRDefault="0018124E" w:rsidP="0018124E">
      <w:pPr>
        <w:pStyle w:val="NormalWeb"/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A matéria foi encaminhada a esta </w:t>
      </w:r>
      <w:r w:rsidRPr="00E43B03">
        <w:rPr>
          <w:rFonts w:ascii="Tahoma" w:hAnsi="Tahoma" w:cs="Tahoma"/>
          <w:b/>
          <w:sz w:val="22"/>
          <w:szCs w:val="22"/>
        </w:rPr>
        <w:t>Comissão Permanente do Ambiente e Direitos dos Animais</w:t>
      </w:r>
      <w:r w:rsidRPr="00E43B03">
        <w:rPr>
          <w:rFonts w:ascii="Tahoma" w:hAnsi="Tahoma" w:cs="Tahoma"/>
          <w:sz w:val="22"/>
          <w:szCs w:val="22"/>
        </w:rPr>
        <w:t xml:space="preserve"> </w:t>
      </w:r>
      <w:r w:rsidRPr="00E43B03">
        <w:rPr>
          <w:rFonts w:ascii="Tahoma" w:hAnsi="Tahoma" w:cs="Tahoma"/>
          <w:b/>
          <w:sz w:val="22"/>
          <w:szCs w:val="22"/>
        </w:rPr>
        <w:t>- CADA</w:t>
      </w:r>
      <w:r w:rsidRPr="00E43B03">
        <w:rPr>
          <w:rFonts w:ascii="Tahoma" w:hAnsi="Tahoma" w:cs="Tahoma"/>
          <w:sz w:val="22"/>
          <w:szCs w:val="22"/>
        </w:rPr>
        <w:t xml:space="preserve"> para emissão de parecer quanto aos seus aspectos ambientais e à compatibilidade com as políticas públicas de gestão hídrica e proteção ecológica.</w:t>
      </w:r>
    </w:p>
    <w:p w:rsidR="0018124E" w:rsidRPr="00E43B03" w:rsidRDefault="0018124E" w:rsidP="0018124E">
      <w:pPr>
        <w:pStyle w:val="Ttulo2"/>
        <w:rPr>
          <w:rStyle w:val="Forte"/>
          <w:rFonts w:ascii="Tahoma" w:hAnsi="Tahoma" w:cs="Tahoma"/>
          <w:b/>
          <w:bCs w:val="0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II – ANÁLISE TÉCNICA E AMBIENTAL</w:t>
      </w:r>
    </w:p>
    <w:p w:rsidR="005C1EBD" w:rsidRPr="00E43B03" w:rsidRDefault="005C1EBD" w:rsidP="005C1EBD">
      <w:pPr>
        <w:rPr>
          <w:rFonts w:ascii="Tahoma" w:hAnsi="Tahoma" w:cs="Tahoma"/>
          <w:sz w:val="22"/>
          <w:szCs w:val="22"/>
        </w:rPr>
      </w:pPr>
    </w:p>
    <w:p w:rsidR="005C1EBD" w:rsidRPr="00E43B03" w:rsidRDefault="005C1EBD" w:rsidP="00A51526">
      <w:pPr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A Comissão </w:t>
      </w:r>
      <w:r w:rsidRPr="00E43B03">
        <w:rPr>
          <w:rFonts w:ascii="Tahoma" w:hAnsi="Tahoma" w:cs="Tahoma"/>
          <w:b/>
          <w:sz w:val="22"/>
          <w:szCs w:val="22"/>
        </w:rPr>
        <w:t>reconhece o mérito socioambiental</w:t>
      </w:r>
      <w:r w:rsidRPr="00E43B03">
        <w:rPr>
          <w:rFonts w:ascii="Tahoma" w:hAnsi="Tahoma" w:cs="Tahoma"/>
          <w:sz w:val="22"/>
          <w:szCs w:val="22"/>
        </w:rPr>
        <w:t xml:space="preserve"> do projeto</w:t>
      </w:r>
      <w:r w:rsidR="00A51526" w:rsidRPr="00E43B03">
        <w:rPr>
          <w:rFonts w:ascii="Tahoma" w:hAnsi="Tahoma" w:cs="Tahoma"/>
          <w:sz w:val="22"/>
          <w:szCs w:val="22"/>
        </w:rPr>
        <w:t>,</w:t>
      </w:r>
      <w:r w:rsidRPr="00E43B03">
        <w:rPr>
          <w:rFonts w:ascii="Tahoma" w:hAnsi="Tahoma" w:cs="Tahoma"/>
          <w:sz w:val="22"/>
          <w:szCs w:val="22"/>
        </w:rPr>
        <w:t xml:space="preserve"> ao buscar organizar um setor historicamente informal e de difícil fiscalização. A criação de cadastro, selo sanitário, pontos oficiais de captação e maior rastreabilidade pode contribuir para:</w:t>
      </w:r>
    </w:p>
    <w:p w:rsidR="0018124E" w:rsidRPr="00E43B03" w:rsidRDefault="0018124E" w:rsidP="0018124E">
      <w:pPr>
        <w:pStyle w:val="NormalWeb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lastRenderedPageBreak/>
        <w:t>reduzir captações clandestinas;</w:t>
      </w:r>
    </w:p>
    <w:p w:rsidR="0018124E" w:rsidRPr="00E43B03" w:rsidRDefault="0018124E" w:rsidP="0018124E">
      <w:pPr>
        <w:pStyle w:val="NormalWeb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aumentar a rastreabilidade da origem da água;</w:t>
      </w:r>
    </w:p>
    <w:p w:rsidR="0018124E" w:rsidRPr="00E43B03" w:rsidRDefault="0018124E" w:rsidP="0018124E">
      <w:pPr>
        <w:pStyle w:val="NormalWeb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facilitar o controle sanitário e ambiental;</w:t>
      </w:r>
    </w:p>
    <w:p w:rsidR="006B6982" w:rsidRPr="00E43B03" w:rsidRDefault="006B6982" w:rsidP="0018124E">
      <w:pPr>
        <w:pStyle w:val="NormalWeb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6B6982">
        <w:rPr>
          <w:rFonts w:ascii="Tahoma" w:hAnsi="Tahoma" w:cs="Tahoma"/>
          <w:color w:val="auto"/>
          <w:sz w:val="22"/>
          <w:szCs w:val="22"/>
          <w:lang w:eastAsia="pt-BR"/>
        </w:rPr>
        <w:t>diminuir riscos sanitários no transporte de água;</w:t>
      </w:r>
    </w:p>
    <w:p w:rsidR="0018124E" w:rsidRPr="00E43B03" w:rsidRDefault="0018124E" w:rsidP="0018124E">
      <w:pPr>
        <w:pStyle w:val="NormalWeb"/>
        <w:numPr>
          <w:ilvl w:val="0"/>
          <w:numId w:val="25"/>
        </w:numPr>
        <w:suppressAutoHyphens w:val="0"/>
        <w:spacing w:before="100" w:beforeAutospacing="1" w:after="100" w:afterAutospacing="1" w:line="276" w:lineRule="auto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diminuir impactos dispersos decorrentes de captação irregular.</w:t>
      </w:r>
    </w:p>
    <w:p w:rsidR="0018124E" w:rsidRPr="00E43B03" w:rsidRDefault="0018124E" w:rsidP="0018124E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Todavia, sob o enfoque estritamente ambiental, o texto apresenta </w:t>
      </w:r>
      <w:r w:rsidRPr="00E43B03">
        <w:rPr>
          <w:rStyle w:val="Forte"/>
          <w:rFonts w:ascii="Tahoma" w:hAnsi="Tahoma" w:cs="Tahoma"/>
          <w:sz w:val="22"/>
          <w:szCs w:val="22"/>
        </w:rPr>
        <w:t>fragilidade</w:t>
      </w:r>
      <w:r w:rsidR="006B6982" w:rsidRPr="00E43B03">
        <w:rPr>
          <w:rStyle w:val="Forte"/>
          <w:rFonts w:ascii="Tahoma" w:hAnsi="Tahoma" w:cs="Tahoma"/>
          <w:sz w:val="22"/>
          <w:szCs w:val="22"/>
        </w:rPr>
        <w:t xml:space="preserve">s ambientais </w:t>
      </w:r>
      <w:r w:rsidRPr="00E43B03">
        <w:rPr>
          <w:rStyle w:val="Forte"/>
          <w:rFonts w:ascii="Tahoma" w:hAnsi="Tahoma" w:cs="Tahoma"/>
          <w:sz w:val="22"/>
          <w:szCs w:val="22"/>
        </w:rPr>
        <w:t>importantes</w:t>
      </w:r>
      <w:r w:rsidRPr="00E43B03">
        <w:rPr>
          <w:rFonts w:ascii="Tahoma" w:hAnsi="Tahoma" w:cs="Tahoma"/>
          <w:sz w:val="22"/>
          <w:szCs w:val="22"/>
        </w:rPr>
        <w:t>, especialmente porque:</w:t>
      </w:r>
    </w:p>
    <w:p w:rsidR="0018124E" w:rsidRPr="00E43B03" w:rsidRDefault="0018124E" w:rsidP="00C3749D">
      <w:pPr>
        <w:pStyle w:val="Ttulo3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1. </w:t>
      </w: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Não estabelece salvaguardas ambientais mínimas</w:t>
      </w:r>
      <w:r w:rsidRPr="00E43B03">
        <w:rPr>
          <w:rFonts w:ascii="Tahoma" w:hAnsi="Tahoma" w:cs="Tahoma"/>
          <w:sz w:val="22"/>
          <w:szCs w:val="22"/>
        </w:rPr>
        <w:t xml:space="preserve"> para instalação de Estações Municipais de Abastecimento (EMAPs), como:</w:t>
      </w:r>
    </w:p>
    <w:p w:rsidR="0018124E" w:rsidRPr="00E43B03" w:rsidRDefault="0018124E" w:rsidP="0018124E">
      <w:pPr>
        <w:pStyle w:val="NormalWeb"/>
        <w:numPr>
          <w:ilvl w:val="0"/>
          <w:numId w:val="26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avaliação da capacidade de suporte das bacias;</w:t>
      </w:r>
    </w:p>
    <w:p w:rsidR="0018124E" w:rsidRPr="00E43B03" w:rsidRDefault="0018124E" w:rsidP="0018124E">
      <w:pPr>
        <w:pStyle w:val="NormalWeb"/>
        <w:numPr>
          <w:ilvl w:val="0"/>
          <w:numId w:val="26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limites de retirada de água;</w:t>
      </w:r>
    </w:p>
    <w:p w:rsidR="0018124E" w:rsidRPr="00E43B03" w:rsidRDefault="0018124E" w:rsidP="0018124E">
      <w:pPr>
        <w:pStyle w:val="NormalWeb"/>
        <w:numPr>
          <w:ilvl w:val="0"/>
          <w:numId w:val="26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vedação de instalação em áreas de preservação permanente (APPs);</w:t>
      </w:r>
    </w:p>
    <w:p w:rsidR="0018124E" w:rsidRPr="00E43B03" w:rsidRDefault="0018124E" w:rsidP="0018124E">
      <w:pPr>
        <w:pStyle w:val="NormalWeb"/>
        <w:numPr>
          <w:ilvl w:val="0"/>
          <w:numId w:val="26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critérios para evitar impacto sobre a fauna, mar</w:t>
      </w:r>
      <w:r w:rsidR="006B6982" w:rsidRPr="00E43B03">
        <w:rPr>
          <w:rFonts w:ascii="Tahoma" w:hAnsi="Tahoma" w:cs="Tahoma"/>
          <w:sz w:val="22"/>
          <w:szCs w:val="22"/>
        </w:rPr>
        <w:t xml:space="preserve">gens de rios e áreas de recarga; </w:t>
      </w:r>
    </w:p>
    <w:p w:rsidR="006B6982" w:rsidRPr="00E43B03" w:rsidRDefault="006B6982" w:rsidP="0018124E">
      <w:pPr>
        <w:pStyle w:val="NormalWeb"/>
        <w:numPr>
          <w:ilvl w:val="0"/>
          <w:numId w:val="26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monitoramento ambiental contínuo.</w:t>
      </w:r>
    </w:p>
    <w:p w:rsidR="0018124E" w:rsidRPr="00E43B03" w:rsidRDefault="0018124E" w:rsidP="00C3749D">
      <w:pPr>
        <w:pStyle w:val="Ttulo3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2. </w:t>
      </w: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Não integra formalmente o Município com o Sistema Estadual de Gestão de Recursos Hídricos</w:t>
      </w:r>
      <w:r w:rsidRPr="00E43B03">
        <w:rPr>
          <w:rFonts w:ascii="Tahoma" w:hAnsi="Tahoma" w:cs="Tahoma"/>
          <w:sz w:val="22"/>
          <w:szCs w:val="22"/>
        </w:rPr>
        <w:t>, especialmente:</w:t>
      </w:r>
    </w:p>
    <w:p w:rsidR="0018124E" w:rsidRPr="00E43B03" w:rsidRDefault="0018124E" w:rsidP="0018124E">
      <w:pPr>
        <w:pStyle w:val="NormalWeb"/>
        <w:numPr>
          <w:ilvl w:val="0"/>
          <w:numId w:val="27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Comitês de Bacia Hidrográfica;</w:t>
      </w:r>
    </w:p>
    <w:p w:rsidR="0018124E" w:rsidRPr="00E43B03" w:rsidRDefault="0018124E" w:rsidP="0018124E">
      <w:pPr>
        <w:pStyle w:val="NormalWeb"/>
        <w:numPr>
          <w:ilvl w:val="0"/>
          <w:numId w:val="27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Instituto Estadual do Ambiente (INEA);</w:t>
      </w:r>
    </w:p>
    <w:p w:rsidR="0018124E" w:rsidRPr="00E43B03" w:rsidRDefault="0018124E" w:rsidP="0018124E">
      <w:pPr>
        <w:pStyle w:val="NormalWeb"/>
        <w:numPr>
          <w:ilvl w:val="0"/>
          <w:numId w:val="27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Plano Estadual de Recursos </w:t>
      </w:r>
      <w:r w:rsidR="006B6982" w:rsidRPr="00E43B03">
        <w:rPr>
          <w:rFonts w:ascii="Tahoma" w:hAnsi="Tahoma" w:cs="Tahoma"/>
          <w:sz w:val="22"/>
          <w:szCs w:val="22"/>
        </w:rPr>
        <w:t>Hídricos;</w:t>
      </w:r>
    </w:p>
    <w:p w:rsidR="006B6982" w:rsidRPr="00E43B03" w:rsidRDefault="006B6982" w:rsidP="0018124E">
      <w:pPr>
        <w:pStyle w:val="NormalWeb"/>
        <w:numPr>
          <w:ilvl w:val="0"/>
          <w:numId w:val="27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Necessidade de outorga prévia para captação.</w:t>
      </w:r>
    </w:p>
    <w:p w:rsidR="0018124E" w:rsidRPr="00E43B03" w:rsidRDefault="0018124E" w:rsidP="00C3749D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Como a perfuração e regularização de poços artesianos são competência estadual, é essencial que o texto seja harmonizado com a legislação ambiental do Estado do RJ e da União (Lei 9.433/97, Lei 6.938/81).</w:t>
      </w:r>
    </w:p>
    <w:p w:rsidR="0018124E" w:rsidRPr="00E43B03" w:rsidRDefault="0018124E" w:rsidP="00C3749D">
      <w:pPr>
        <w:pStyle w:val="Ttulo3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3. O </w:t>
      </w: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Selo de Conformidade Sanitária</w:t>
      </w:r>
      <w:r w:rsidRPr="00E43B03">
        <w:rPr>
          <w:rFonts w:ascii="Tahoma" w:hAnsi="Tahoma" w:cs="Tahoma"/>
          <w:sz w:val="22"/>
          <w:szCs w:val="22"/>
        </w:rPr>
        <w:t xml:space="preserve"> proposto no PL inclui componentes sanitários, mas </w:t>
      </w: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não estabelece critérios ambientais</w:t>
      </w:r>
      <w:r w:rsidRPr="00E43B03">
        <w:rPr>
          <w:rFonts w:ascii="Tahoma" w:hAnsi="Tahoma" w:cs="Tahoma"/>
          <w:sz w:val="22"/>
          <w:szCs w:val="22"/>
        </w:rPr>
        <w:t>,</w:t>
      </w:r>
      <w:r w:rsidR="006B6982" w:rsidRPr="00E43B03">
        <w:rPr>
          <w:rFonts w:ascii="Tahoma" w:hAnsi="Tahoma" w:cs="Tahoma"/>
          <w:sz w:val="22"/>
          <w:szCs w:val="22"/>
        </w:rPr>
        <w:t xml:space="preserve"> o que pode validar fontes ambientalmente inadequadas</w:t>
      </w:r>
      <w:r w:rsidR="00B534F0" w:rsidRPr="00E43B03">
        <w:rPr>
          <w:rFonts w:ascii="Tahoma" w:hAnsi="Tahoma" w:cs="Tahoma"/>
          <w:sz w:val="22"/>
          <w:szCs w:val="22"/>
        </w:rPr>
        <w:t>,</w:t>
      </w:r>
      <w:r w:rsidRPr="00E43B03">
        <w:rPr>
          <w:rFonts w:ascii="Tahoma" w:hAnsi="Tahoma" w:cs="Tahoma"/>
          <w:sz w:val="22"/>
          <w:szCs w:val="22"/>
        </w:rPr>
        <w:t xml:space="preserve"> </w:t>
      </w:r>
      <w:r w:rsidR="00B534F0" w:rsidRPr="00E43B03">
        <w:rPr>
          <w:rFonts w:ascii="Tahoma" w:hAnsi="Tahoma" w:cs="Tahoma"/>
          <w:sz w:val="22"/>
          <w:szCs w:val="22"/>
        </w:rPr>
        <w:t xml:space="preserve"> pontos </w:t>
      </w:r>
      <w:r w:rsidRPr="00E43B03">
        <w:rPr>
          <w:rFonts w:ascii="Tahoma" w:hAnsi="Tahoma" w:cs="Tahoma"/>
          <w:sz w:val="22"/>
          <w:szCs w:val="22"/>
        </w:rPr>
        <w:t>como:</w:t>
      </w:r>
    </w:p>
    <w:p w:rsidR="0018124E" w:rsidRPr="00E43B03" w:rsidRDefault="0018124E" w:rsidP="0018124E">
      <w:pPr>
        <w:pStyle w:val="NormalWeb"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sustentabilidade da fonte;</w:t>
      </w:r>
    </w:p>
    <w:p w:rsidR="0018124E" w:rsidRPr="00E43B03" w:rsidRDefault="0018124E" w:rsidP="0018124E">
      <w:pPr>
        <w:pStyle w:val="NormalWeb"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análise hidrogeológica;</w:t>
      </w:r>
    </w:p>
    <w:p w:rsidR="0018124E" w:rsidRPr="00E43B03" w:rsidRDefault="0018124E" w:rsidP="0018124E">
      <w:pPr>
        <w:pStyle w:val="NormalWeb"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comprovação de outorga;</w:t>
      </w:r>
    </w:p>
    <w:p w:rsidR="0018124E" w:rsidRPr="00E43B03" w:rsidRDefault="0018124E" w:rsidP="0018124E">
      <w:pPr>
        <w:pStyle w:val="NormalWeb"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avaliação de impacto ambiental;</w:t>
      </w:r>
    </w:p>
    <w:p w:rsidR="0018124E" w:rsidRPr="00E43B03" w:rsidRDefault="0018124E" w:rsidP="0018124E">
      <w:pPr>
        <w:pStyle w:val="NormalWeb"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monitoramento da recarga.</w:t>
      </w:r>
    </w:p>
    <w:p w:rsidR="0018124E" w:rsidRPr="00E43B03" w:rsidRDefault="0018124E" w:rsidP="00C3749D">
      <w:pPr>
        <w:pStyle w:val="Ttulo3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lastRenderedPageBreak/>
        <w:t xml:space="preserve">4. O projeto </w:t>
      </w:r>
      <w:r w:rsidRPr="00E43B03">
        <w:rPr>
          <w:rStyle w:val="Forte"/>
          <w:rFonts w:ascii="Tahoma" w:hAnsi="Tahoma" w:cs="Tahoma"/>
          <w:bCs w:val="0"/>
          <w:sz w:val="22"/>
          <w:szCs w:val="22"/>
        </w:rPr>
        <w:t>não prevê sanções ambientais</w:t>
      </w:r>
      <w:r w:rsidR="00B534F0" w:rsidRPr="00E43B03">
        <w:rPr>
          <w:rStyle w:val="Forte"/>
          <w:rFonts w:ascii="Tahoma" w:hAnsi="Tahoma" w:cs="Tahoma"/>
          <w:bCs w:val="0"/>
          <w:sz w:val="22"/>
          <w:szCs w:val="22"/>
        </w:rPr>
        <w:t>, e responsabilidades</w:t>
      </w:r>
      <w:r w:rsidRPr="00E43B03">
        <w:rPr>
          <w:rFonts w:ascii="Tahoma" w:hAnsi="Tahoma" w:cs="Tahoma"/>
          <w:sz w:val="22"/>
          <w:szCs w:val="22"/>
        </w:rPr>
        <w:t>, mecanismos de fiscalização ou regras claras de responsabilidade civil e ambiental em caso de contaminação, acidente, dano ambiental ou uso irregular da fonte.</w:t>
      </w:r>
    </w:p>
    <w:p w:rsidR="0018124E" w:rsidRPr="00E43B03" w:rsidRDefault="0018124E" w:rsidP="00C3749D">
      <w:pPr>
        <w:pStyle w:val="Ttulo3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5. O texto é, em grande parte, </w:t>
      </w:r>
      <w:r w:rsidRPr="00E43B03">
        <w:rPr>
          <w:rStyle w:val="Forte"/>
          <w:rFonts w:ascii="Tahoma" w:hAnsi="Tahoma" w:cs="Tahoma"/>
          <w:bCs w:val="0"/>
          <w:sz w:val="22"/>
          <w:szCs w:val="22"/>
        </w:rPr>
        <w:t>programático</w:t>
      </w:r>
      <w:r w:rsidRPr="00E43B03">
        <w:rPr>
          <w:rFonts w:ascii="Tahoma" w:hAnsi="Tahoma" w:cs="Tahoma"/>
          <w:sz w:val="22"/>
          <w:szCs w:val="22"/>
        </w:rPr>
        <w:t>, carecendo de normas complementares que garantam efetividade ambiental e segurança sustentável.</w:t>
      </w:r>
    </w:p>
    <w:p w:rsidR="00B534F0" w:rsidRPr="00E43B03" w:rsidRDefault="00B534F0" w:rsidP="00B534F0">
      <w:pPr>
        <w:pStyle w:val="Ttulo2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III – DECISÃO DO TJRJ (IRDR) E SEUS EFEITOS NO PL</w:t>
      </w:r>
    </w:p>
    <w:p w:rsidR="00B534F0" w:rsidRPr="00E43B03" w:rsidRDefault="00B534F0" w:rsidP="00B534F0">
      <w:pPr>
        <w:pStyle w:val="NormalWeb"/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O Tribunal de Justiça do Estado do Rio de Janeiro, no julgamento do </w:t>
      </w:r>
      <w:r w:rsidRPr="00E43B03">
        <w:rPr>
          <w:rStyle w:val="Forte"/>
          <w:rFonts w:ascii="Tahoma" w:hAnsi="Tahoma" w:cs="Tahoma"/>
          <w:sz w:val="22"/>
          <w:szCs w:val="22"/>
        </w:rPr>
        <w:t>IRDR</w:t>
      </w:r>
      <w:r w:rsidRPr="00E43B03">
        <w:rPr>
          <w:rFonts w:ascii="Tahoma" w:hAnsi="Tahoma" w:cs="Tahoma"/>
          <w:sz w:val="22"/>
          <w:szCs w:val="22"/>
        </w:rPr>
        <w:t xml:space="preserve"> (Incidente de Resolução de Demandas Repetitivas), firmou entendimento </w:t>
      </w:r>
      <w:r w:rsidRPr="00E43B03">
        <w:rPr>
          <w:rStyle w:val="Forte"/>
          <w:rFonts w:ascii="Tahoma" w:hAnsi="Tahoma" w:cs="Tahoma"/>
          <w:sz w:val="22"/>
          <w:szCs w:val="22"/>
        </w:rPr>
        <w:t>vinculante</w:t>
      </w:r>
      <w:r w:rsidRPr="00E43B03">
        <w:rPr>
          <w:rFonts w:ascii="Tahoma" w:hAnsi="Tahoma" w:cs="Tahoma"/>
          <w:sz w:val="22"/>
          <w:szCs w:val="22"/>
        </w:rPr>
        <w:t xml:space="preserve"> no sentido de que:</w:t>
      </w:r>
    </w:p>
    <w:p w:rsidR="00B534F0" w:rsidRPr="00E43B03" w:rsidRDefault="00B534F0" w:rsidP="00B534F0">
      <w:pPr>
        <w:pStyle w:val="NormalWeb"/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É proibido o uso de poços artesianos em imóveis localizados em áreas já atendidas pela rede pública de abastecimento de água</w:t>
      </w:r>
      <w:r w:rsidRPr="00E43B03">
        <w:rPr>
          <w:rFonts w:ascii="Tahoma" w:hAnsi="Tahoma" w:cs="Tahoma"/>
          <w:sz w:val="22"/>
          <w:szCs w:val="22"/>
        </w:rPr>
        <w:t>, ainda que regularizados, com fundamento no Decreto Estadual nº 40.156/2006 e na Portaria SERLA nº 555/2007.</w:t>
      </w:r>
    </w:p>
    <w:p w:rsidR="00B534F0" w:rsidRPr="00E43B03" w:rsidRDefault="00B534F0" w:rsidP="00B534F0">
      <w:pPr>
        <w:pStyle w:val="NormalWeb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Os fundamentos foram:</w:t>
      </w:r>
    </w:p>
    <w:p w:rsidR="00B534F0" w:rsidRPr="00E43B03" w:rsidRDefault="00B534F0" w:rsidP="00B534F0">
      <w:pPr>
        <w:pStyle w:val="NormalWeb"/>
        <w:numPr>
          <w:ilvl w:val="0"/>
          <w:numId w:val="32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risco sanitário;</w:t>
      </w:r>
    </w:p>
    <w:p w:rsidR="00B534F0" w:rsidRPr="00E43B03" w:rsidRDefault="00B534F0" w:rsidP="00B534F0">
      <w:pPr>
        <w:pStyle w:val="NormalWeb"/>
        <w:numPr>
          <w:ilvl w:val="0"/>
          <w:numId w:val="32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desequilíbrio econômico do sistema de saneamento;</w:t>
      </w:r>
    </w:p>
    <w:p w:rsidR="00B534F0" w:rsidRPr="00E43B03" w:rsidRDefault="00B534F0" w:rsidP="00B534F0">
      <w:pPr>
        <w:pStyle w:val="NormalWeb"/>
        <w:numPr>
          <w:ilvl w:val="0"/>
          <w:numId w:val="32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proteção de aquíferos subterrâneos;</w:t>
      </w:r>
    </w:p>
    <w:p w:rsidR="00B534F0" w:rsidRPr="00E43B03" w:rsidRDefault="00B534F0" w:rsidP="00B534F0">
      <w:pPr>
        <w:pStyle w:val="NormalWeb"/>
        <w:numPr>
          <w:ilvl w:val="0"/>
          <w:numId w:val="32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prioridade do abastecimento público.</w:t>
      </w:r>
    </w:p>
    <w:p w:rsidR="00B534F0" w:rsidRPr="00E43B03" w:rsidRDefault="00B534F0" w:rsidP="00E43B03">
      <w:pPr>
        <w:pStyle w:val="NormalWeb"/>
        <w:ind w:firstLine="360"/>
        <w:jc w:val="both"/>
        <w:rPr>
          <w:rStyle w:val="Forte"/>
          <w:rFonts w:ascii="Tahoma" w:hAnsi="Tahoma" w:cs="Tahoma"/>
          <w:b w:val="0"/>
          <w:bCs w:val="0"/>
          <w:sz w:val="22"/>
          <w:szCs w:val="22"/>
        </w:rPr>
      </w:pPr>
      <w:r w:rsidRPr="00E43B03">
        <w:rPr>
          <w:rStyle w:val="nfase"/>
          <w:rFonts w:ascii="Tahoma" w:hAnsi="Tahoma" w:cs="Tahoma"/>
          <w:i w:val="0"/>
          <w:sz w:val="22"/>
          <w:szCs w:val="22"/>
        </w:rPr>
        <w:t>Esse entendimento é obrigatório para todos os magistrados e vincula a Administração Pública Municipal.</w:t>
      </w:r>
    </w:p>
    <w:p w:rsidR="00B534F0" w:rsidRPr="00E43B03" w:rsidRDefault="00B534F0" w:rsidP="00B534F0">
      <w:pPr>
        <w:pStyle w:val="Ttulo3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IMPACTO NO PL:</w:t>
      </w:r>
    </w:p>
    <w:p w:rsidR="00B534F0" w:rsidRPr="00E43B03" w:rsidRDefault="00B534F0" w:rsidP="00B534F0">
      <w:pPr>
        <w:pStyle w:val="NormalWeb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O texto original do projeto:</w:t>
      </w:r>
    </w:p>
    <w:p w:rsidR="00B534F0" w:rsidRPr="00E43B03" w:rsidRDefault="00B534F0" w:rsidP="00B534F0">
      <w:pPr>
        <w:pStyle w:val="NormalWeb"/>
        <w:numPr>
          <w:ilvl w:val="0"/>
          <w:numId w:val="33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pode ser interpretado como incentivo à regularização e ao uso de poços;</w:t>
      </w:r>
    </w:p>
    <w:p w:rsidR="00B534F0" w:rsidRPr="00E43B03" w:rsidRDefault="00B534F0" w:rsidP="00B534F0">
      <w:pPr>
        <w:pStyle w:val="NormalWeb"/>
        <w:numPr>
          <w:ilvl w:val="0"/>
          <w:numId w:val="33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não distingue áreas com e sem rede pública;</w:t>
      </w:r>
    </w:p>
    <w:p w:rsidR="00B534F0" w:rsidRPr="00E43B03" w:rsidRDefault="00B534F0" w:rsidP="00B534F0">
      <w:pPr>
        <w:pStyle w:val="NormalWeb"/>
        <w:numPr>
          <w:ilvl w:val="0"/>
          <w:numId w:val="33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não traz vedação expressa conforme a decisão do TJRJ.</w:t>
      </w:r>
    </w:p>
    <w:p w:rsidR="00B534F0" w:rsidRPr="00E43B03" w:rsidRDefault="00B534F0" w:rsidP="00B534F0">
      <w:pPr>
        <w:pStyle w:val="NormalWeb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Sem ajustes, o PL poderia entrar em conflito direto com essa jurisprudência obrigatória.</w:t>
      </w:r>
    </w:p>
    <w:p w:rsidR="0018124E" w:rsidRPr="00E43B03" w:rsidRDefault="0018124E" w:rsidP="0018124E">
      <w:pPr>
        <w:pStyle w:val="Ttulo2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I</w:t>
      </w:r>
      <w:r w:rsidR="00B534F0"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V</w:t>
      </w: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 xml:space="preserve"> – ANÁLISE JURÍDICA AMBIENTAL</w:t>
      </w:r>
    </w:p>
    <w:p w:rsidR="0018124E" w:rsidRPr="00E43B03" w:rsidRDefault="0018124E" w:rsidP="00C3749D">
      <w:pPr>
        <w:pStyle w:val="NormalWeb"/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Do ponto de vista jurídico, as fragilidades identificadas </w:t>
      </w:r>
      <w:r w:rsidRPr="00E43B03">
        <w:rPr>
          <w:rStyle w:val="Forte"/>
          <w:rFonts w:ascii="Tahoma" w:hAnsi="Tahoma" w:cs="Tahoma"/>
          <w:sz w:val="22"/>
          <w:szCs w:val="22"/>
        </w:rPr>
        <w:t>não tornam o projeto inviável</w:t>
      </w:r>
      <w:r w:rsidRPr="00E43B03">
        <w:rPr>
          <w:rFonts w:ascii="Tahoma" w:hAnsi="Tahoma" w:cs="Tahoma"/>
          <w:sz w:val="22"/>
          <w:szCs w:val="22"/>
        </w:rPr>
        <w:t>, pois são passíveis de correção por emendas, substitutivo ou regulamentação posterior.</w:t>
      </w:r>
    </w:p>
    <w:p w:rsidR="0018124E" w:rsidRPr="00E43B03" w:rsidRDefault="0018124E" w:rsidP="00C3749D">
      <w:pPr>
        <w:pStyle w:val="NormalWeb"/>
        <w:spacing w:line="276" w:lineRule="auto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O Município detém competência constitucional para:</w:t>
      </w:r>
    </w:p>
    <w:p w:rsidR="0018124E" w:rsidRPr="00E43B03" w:rsidRDefault="0018124E" w:rsidP="0018124E">
      <w:pPr>
        <w:pStyle w:val="NormalWeb"/>
        <w:numPr>
          <w:ilvl w:val="0"/>
          <w:numId w:val="29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lastRenderedPageBreak/>
        <w:t>legislar sobre assuntos de interesse local (art. 30, I, CF/88);</w:t>
      </w:r>
    </w:p>
    <w:p w:rsidR="0018124E" w:rsidRPr="00E43B03" w:rsidRDefault="0018124E" w:rsidP="0018124E">
      <w:pPr>
        <w:pStyle w:val="NormalWeb"/>
        <w:numPr>
          <w:ilvl w:val="0"/>
          <w:numId w:val="29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promover ações de vigilância sanitária e ambiental (arts. 23 e 24 da CF);</w:t>
      </w:r>
    </w:p>
    <w:p w:rsidR="0018124E" w:rsidRPr="00E43B03" w:rsidRDefault="0018124E" w:rsidP="0018124E">
      <w:pPr>
        <w:pStyle w:val="NormalWeb"/>
        <w:numPr>
          <w:ilvl w:val="0"/>
          <w:numId w:val="29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atuar na defesa do meio ambiente.</w:t>
      </w:r>
    </w:p>
    <w:p w:rsidR="0018124E" w:rsidRPr="00E43B03" w:rsidRDefault="0018124E" w:rsidP="0018124E">
      <w:pPr>
        <w:pStyle w:val="NormalWeb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Assim, o objeto do PL está </w:t>
      </w:r>
      <w:r w:rsidRPr="00E43B03">
        <w:rPr>
          <w:rStyle w:val="Forte"/>
          <w:rFonts w:ascii="Tahoma" w:hAnsi="Tahoma" w:cs="Tahoma"/>
          <w:sz w:val="22"/>
          <w:szCs w:val="22"/>
        </w:rPr>
        <w:t>dentro da esfera municipal</w:t>
      </w:r>
      <w:r w:rsidRPr="00E43B03">
        <w:rPr>
          <w:rFonts w:ascii="Tahoma" w:hAnsi="Tahoma" w:cs="Tahoma"/>
          <w:sz w:val="22"/>
          <w:szCs w:val="22"/>
        </w:rPr>
        <w:t>.</w:t>
      </w:r>
    </w:p>
    <w:p w:rsidR="0018124E" w:rsidRPr="00E43B03" w:rsidRDefault="0018124E" w:rsidP="0018124E">
      <w:pPr>
        <w:pStyle w:val="NormalWeb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O que se recomenda é:</w:t>
      </w:r>
    </w:p>
    <w:p w:rsidR="0018124E" w:rsidRPr="00E43B03" w:rsidRDefault="0018124E" w:rsidP="0018124E">
      <w:pPr>
        <w:pStyle w:val="NormalWeb"/>
        <w:numPr>
          <w:ilvl w:val="0"/>
          <w:numId w:val="30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reforçar a articulação com o INEA;</w:t>
      </w:r>
    </w:p>
    <w:p w:rsidR="0018124E" w:rsidRPr="00E43B03" w:rsidRDefault="0018124E" w:rsidP="0018124E">
      <w:pPr>
        <w:pStyle w:val="NormalWeb"/>
        <w:numPr>
          <w:ilvl w:val="0"/>
          <w:numId w:val="30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explicitar que todas as captações dependerão de outorga e licenciamento;</w:t>
      </w:r>
    </w:p>
    <w:p w:rsidR="0018124E" w:rsidRPr="00E43B03" w:rsidRDefault="0018124E" w:rsidP="0018124E">
      <w:pPr>
        <w:pStyle w:val="NormalWeb"/>
        <w:numPr>
          <w:ilvl w:val="0"/>
          <w:numId w:val="30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condicionar a instalação das EMAPs a avaliações ambientais prévias;</w:t>
      </w:r>
    </w:p>
    <w:p w:rsidR="0018124E" w:rsidRPr="00E43B03" w:rsidRDefault="0018124E" w:rsidP="0018124E">
      <w:pPr>
        <w:pStyle w:val="NormalWeb"/>
        <w:numPr>
          <w:ilvl w:val="0"/>
          <w:numId w:val="30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incluir salvaguardas ambientais obrigatórias no texto.</w:t>
      </w:r>
    </w:p>
    <w:p w:rsidR="0018124E" w:rsidRPr="00E43B03" w:rsidRDefault="0018124E" w:rsidP="00C3749D">
      <w:pPr>
        <w:pStyle w:val="Ttulo2"/>
        <w:spacing w:line="276" w:lineRule="auto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V – MÉRITO AMBIENTAL</w:t>
      </w:r>
    </w:p>
    <w:p w:rsidR="0018124E" w:rsidRPr="00E43B03" w:rsidRDefault="0018124E" w:rsidP="00C3749D">
      <w:pPr>
        <w:pStyle w:val="NormalWeb"/>
        <w:spacing w:line="276" w:lineRule="auto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Apesar das lacunas apontadas, o Projeto de Lei:</w:t>
      </w:r>
    </w:p>
    <w:p w:rsidR="0018124E" w:rsidRPr="00E43B03" w:rsidRDefault="0018124E" w:rsidP="0018124E">
      <w:pPr>
        <w:pStyle w:val="NormalWeb"/>
        <w:numPr>
          <w:ilvl w:val="0"/>
          <w:numId w:val="31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reduz a pressão sobre captações clandestinas;</w:t>
      </w:r>
    </w:p>
    <w:p w:rsidR="0018124E" w:rsidRPr="00E43B03" w:rsidRDefault="0018124E" w:rsidP="0018124E">
      <w:pPr>
        <w:pStyle w:val="NormalWeb"/>
        <w:numPr>
          <w:ilvl w:val="0"/>
          <w:numId w:val="31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fortalece a governança hídrica municipal;</w:t>
      </w:r>
    </w:p>
    <w:p w:rsidR="0018124E" w:rsidRPr="00E43B03" w:rsidRDefault="0018124E" w:rsidP="0018124E">
      <w:pPr>
        <w:pStyle w:val="NormalWeb"/>
        <w:numPr>
          <w:ilvl w:val="0"/>
          <w:numId w:val="31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melhora a segurança sanitária e ambiental no transporte de água;</w:t>
      </w:r>
    </w:p>
    <w:p w:rsidR="0018124E" w:rsidRPr="00E43B03" w:rsidRDefault="0018124E" w:rsidP="0018124E">
      <w:pPr>
        <w:pStyle w:val="NormalWeb"/>
        <w:numPr>
          <w:ilvl w:val="0"/>
          <w:numId w:val="31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dá visibilidade e controle sobre fontes alternativas;</w:t>
      </w:r>
    </w:p>
    <w:p w:rsidR="0018124E" w:rsidRPr="00E43B03" w:rsidRDefault="0018124E" w:rsidP="0018124E">
      <w:pPr>
        <w:pStyle w:val="NormalWeb"/>
        <w:numPr>
          <w:ilvl w:val="0"/>
          <w:numId w:val="31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contribui para a prevenção de danos ambientais associados à retirada irregular de água.</w:t>
      </w:r>
    </w:p>
    <w:p w:rsidR="0018124E" w:rsidRPr="00E43B03" w:rsidRDefault="0018124E" w:rsidP="00C3749D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Nesse sentido, </w:t>
      </w:r>
      <w:r w:rsidRPr="00E43B03">
        <w:rPr>
          <w:rStyle w:val="Forte"/>
          <w:rFonts w:ascii="Tahoma" w:hAnsi="Tahoma" w:cs="Tahoma"/>
          <w:sz w:val="22"/>
          <w:szCs w:val="22"/>
        </w:rPr>
        <w:t>o mérito ambiental é reconhecido pela Comissão</w:t>
      </w:r>
      <w:r w:rsidRPr="00E43B03">
        <w:rPr>
          <w:rFonts w:ascii="Tahoma" w:hAnsi="Tahoma" w:cs="Tahoma"/>
          <w:sz w:val="22"/>
          <w:szCs w:val="22"/>
        </w:rPr>
        <w:t>, desde que o texto seja adequadamente ajustado mediante emendas saneadoras.</w:t>
      </w:r>
    </w:p>
    <w:p w:rsidR="0018124E" w:rsidRPr="00E43B03" w:rsidRDefault="0018124E" w:rsidP="00C3749D">
      <w:pPr>
        <w:pStyle w:val="Ttulo2"/>
        <w:spacing w:line="276" w:lineRule="auto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V</w:t>
      </w:r>
      <w:r w:rsidR="00E43B03"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I</w:t>
      </w: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 xml:space="preserve"> – CONCLUSÃO E VOTO</w:t>
      </w:r>
    </w:p>
    <w:p w:rsidR="0018124E" w:rsidRPr="00E43B03" w:rsidRDefault="0018124E" w:rsidP="00C3749D">
      <w:pPr>
        <w:pStyle w:val="NormalWeb"/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Diante do exposto, esta Comissão Permanente </w:t>
      </w:r>
      <w:r w:rsidRPr="00E43B03">
        <w:rPr>
          <w:rStyle w:val="Forte"/>
          <w:rFonts w:ascii="Tahoma" w:hAnsi="Tahoma" w:cs="Tahoma"/>
          <w:sz w:val="22"/>
          <w:szCs w:val="22"/>
        </w:rPr>
        <w:t>reconhece o mérito socioambiental do Projeto de Lei nº 444/2025</w:t>
      </w:r>
      <w:r w:rsidRPr="00E43B03">
        <w:rPr>
          <w:rFonts w:ascii="Tahoma" w:hAnsi="Tahoma" w:cs="Tahoma"/>
          <w:sz w:val="22"/>
          <w:szCs w:val="22"/>
        </w:rPr>
        <w:t>, especialmente quanto à organização do setor, à promoção da segurança hídrica e ao potencial de redução de impactos ambientais decorrentes de captações irregulares.</w:t>
      </w:r>
    </w:p>
    <w:p w:rsidR="0018124E" w:rsidRPr="00E43B03" w:rsidRDefault="0018124E" w:rsidP="00C3749D">
      <w:pPr>
        <w:pStyle w:val="NormalWeb"/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 xml:space="preserve">No entanto, considera indispensável que o projeto </w:t>
      </w:r>
      <w:r w:rsidRPr="00E43B03">
        <w:rPr>
          <w:rStyle w:val="Forte"/>
          <w:rFonts w:ascii="Tahoma" w:hAnsi="Tahoma" w:cs="Tahoma"/>
          <w:sz w:val="22"/>
          <w:szCs w:val="22"/>
        </w:rPr>
        <w:t>seja aperfeiçoado</w:t>
      </w:r>
      <w:r w:rsidRPr="00E43B03">
        <w:rPr>
          <w:rFonts w:ascii="Tahoma" w:hAnsi="Tahoma" w:cs="Tahoma"/>
          <w:sz w:val="22"/>
          <w:szCs w:val="22"/>
        </w:rPr>
        <w:t xml:space="preserve"> para garantir plena conformidade com a legislação ambiental e</w:t>
      </w:r>
      <w:r w:rsidR="00D40B36" w:rsidRPr="00E43B03">
        <w:rPr>
          <w:rFonts w:ascii="Tahoma" w:hAnsi="Tahoma" w:cs="Tahoma"/>
          <w:sz w:val="22"/>
          <w:szCs w:val="22"/>
        </w:rPr>
        <w:t xml:space="preserve"> jurídica, e</w:t>
      </w:r>
      <w:r w:rsidRPr="00E43B03">
        <w:rPr>
          <w:rFonts w:ascii="Tahoma" w:hAnsi="Tahoma" w:cs="Tahoma"/>
          <w:sz w:val="22"/>
          <w:szCs w:val="22"/>
        </w:rPr>
        <w:t xml:space="preserve"> </w:t>
      </w:r>
      <w:r w:rsidR="00D40B36" w:rsidRPr="00E43B03">
        <w:rPr>
          <w:rFonts w:ascii="Tahoma" w:hAnsi="Tahoma" w:cs="Tahoma"/>
          <w:sz w:val="22"/>
          <w:szCs w:val="22"/>
        </w:rPr>
        <w:t>d</w:t>
      </w:r>
      <w:r w:rsidRPr="00E43B03">
        <w:rPr>
          <w:rFonts w:ascii="Tahoma" w:hAnsi="Tahoma" w:cs="Tahoma"/>
          <w:sz w:val="22"/>
          <w:szCs w:val="22"/>
        </w:rPr>
        <w:t>os princípios da prevenção e da sustentabilidade.</w:t>
      </w:r>
    </w:p>
    <w:p w:rsidR="00D40B36" w:rsidRPr="00E43B03" w:rsidRDefault="0018124E" w:rsidP="00D40B36">
      <w:pPr>
        <w:pStyle w:val="NormalWeb"/>
        <w:spacing w:line="276" w:lineRule="auto"/>
        <w:ind w:firstLine="360"/>
        <w:jc w:val="both"/>
        <w:rPr>
          <w:rFonts w:ascii="Tahoma" w:hAnsi="Tahoma" w:cs="Tahoma"/>
          <w:b/>
          <w:color w:val="auto"/>
          <w:sz w:val="22"/>
          <w:szCs w:val="22"/>
          <w:lang w:eastAsia="pt-BR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Assim, o voto desta Comissão é pela aprovação do Projeto de Lei nº 444/2025, COM RESSALVAS, condicionada à apresentação de emendas ou substitutivo que incorporem as recomendações técnicas e ambientais expostas neste parecer</w:t>
      </w:r>
      <w:r w:rsidR="00D40B36" w:rsidRPr="00E43B03">
        <w:rPr>
          <w:rStyle w:val="Forte"/>
          <w:rFonts w:ascii="Tahoma" w:hAnsi="Tahoma" w:cs="Tahoma"/>
          <w:sz w:val="22"/>
          <w:szCs w:val="22"/>
        </w:rPr>
        <w:t xml:space="preserve">, </w:t>
      </w:r>
      <w:r w:rsidR="00D40B36" w:rsidRPr="00E43B03">
        <w:rPr>
          <w:rFonts w:ascii="Tahoma" w:hAnsi="Tahoma" w:cs="Tahoma"/>
          <w:b/>
          <w:color w:val="auto"/>
          <w:sz w:val="22"/>
          <w:szCs w:val="22"/>
          <w:lang w:eastAsia="pt-BR"/>
        </w:rPr>
        <w:t>especialmente no que tange à:</w:t>
      </w:r>
    </w:p>
    <w:p w:rsidR="00D40B36" w:rsidRPr="00D40B36" w:rsidRDefault="00D40B36" w:rsidP="00D40B36">
      <w:pPr>
        <w:numPr>
          <w:ilvl w:val="0"/>
          <w:numId w:val="35"/>
        </w:numPr>
        <w:suppressAutoHyphens w:val="0"/>
        <w:spacing w:before="100" w:beforeAutospacing="1" w:after="100" w:afterAutospacing="1"/>
        <w:rPr>
          <w:rFonts w:ascii="Tahoma" w:hAnsi="Tahoma" w:cs="Tahoma"/>
          <w:color w:val="auto"/>
          <w:sz w:val="22"/>
          <w:szCs w:val="22"/>
          <w:lang w:eastAsia="pt-BR"/>
        </w:rPr>
      </w:pPr>
      <w:r w:rsidRPr="00E43B03">
        <w:rPr>
          <w:rFonts w:ascii="Tahoma" w:hAnsi="Tahoma" w:cs="Tahoma"/>
          <w:bCs/>
          <w:color w:val="auto"/>
          <w:sz w:val="22"/>
          <w:szCs w:val="22"/>
          <w:lang w:eastAsia="pt-BR"/>
        </w:rPr>
        <w:lastRenderedPageBreak/>
        <w:t>conformidade com a decisão do TJRJ</w:t>
      </w:r>
      <w:r w:rsidRPr="00D40B36">
        <w:rPr>
          <w:rFonts w:ascii="Tahoma" w:hAnsi="Tahoma" w:cs="Tahoma"/>
          <w:color w:val="auto"/>
          <w:sz w:val="22"/>
          <w:szCs w:val="22"/>
          <w:lang w:eastAsia="pt-BR"/>
        </w:rPr>
        <w:t>;</w:t>
      </w:r>
    </w:p>
    <w:p w:rsidR="00D40B36" w:rsidRPr="00D40B36" w:rsidRDefault="00D40B36" w:rsidP="00D40B36">
      <w:pPr>
        <w:numPr>
          <w:ilvl w:val="0"/>
          <w:numId w:val="35"/>
        </w:numPr>
        <w:suppressAutoHyphens w:val="0"/>
        <w:spacing w:before="100" w:beforeAutospacing="1" w:after="100" w:afterAutospacing="1"/>
        <w:rPr>
          <w:rFonts w:ascii="Tahoma" w:hAnsi="Tahoma" w:cs="Tahoma"/>
          <w:color w:val="auto"/>
          <w:sz w:val="22"/>
          <w:szCs w:val="22"/>
          <w:lang w:eastAsia="pt-BR"/>
        </w:rPr>
      </w:pPr>
      <w:r w:rsidRPr="00E43B03">
        <w:rPr>
          <w:rFonts w:ascii="Tahoma" w:hAnsi="Tahoma" w:cs="Tahoma"/>
          <w:bCs/>
          <w:color w:val="auto"/>
          <w:sz w:val="22"/>
          <w:szCs w:val="22"/>
          <w:lang w:eastAsia="pt-BR"/>
        </w:rPr>
        <w:t>integração com o sistema estadual de gestão hídrica</w:t>
      </w:r>
      <w:r w:rsidRPr="00D40B36">
        <w:rPr>
          <w:rFonts w:ascii="Tahoma" w:hAnsi="Tahoma" w:cs="Tahoma"/>
          <w:color w:val="auto"/>
          <w:sz w:val="22"/>
          <w:szCs w:val="22"/>
          <w:lang w:eastAsia="pt-BR"/>
        </w:rPr>
        <w:t>;</w:t>
      </w:r>
    </w:p>
    <w:p w:rsidR="00D40B36" w:rsidRPr="00D40B36" w:rsidRDefault="00D40B36" w:rsidP="00D40B36">
      <w:pPr>
        <w:numPr>
          <w:ilvl w:val="0"/>
          <w:numId w:val="35"/>
        </w:numPr>
        <w:suppressAutoHyphens w:val="0"/>
        <w:spacing w:before="100" w:beforeAutospacing="1" w:after="100" w:afterAutospacing="1"/>
        <w:rPr>
          <w:rFonts w:ascii="Tahoma" w:hAnsi="Tahoma" w:cs="Tahoma"/>
          <w:color w:val="auto"/>
          <w:sz w:val="22"/>
          <w:szCs w:val="22"/>
          <w:lang w:eastAsia="pt-BR"/>
        </w:rPr>
      </w:pPr>
      <w:r w:rsidRPr="00E43B03">
        <w:rPr>
          <w:rFonts w:ascii="Tahoma" w:hAnsi="Tahoma" w:cs="Tahoma"/>
          <w:bCs/>
          <w:color w:val="auto"/>
          <w:sz w:val="22"/>
          <w:szCs w:val="22"/>
          <w:lang w:eastAsia="pt-BR"/>
        </w:rPr>
        <w:t>proteção ambiental efetiva</w:t>
      </w:r>
      <w:r w:rsidRPr="00D40B36">
        <w:rPr>
          <w:rFonts w:ascii="Tahoma" w:hAnsi="Tahoma" w:cs="Tahoma"/>
          <w:color w:val="auto"/>
          <w:sz w:val="22"/>
          <w:szCs w:val="22"/>
          <w:lang w:eastAsia="pt-BR"/>
        </w:rPr>
        <w:t>;</w:t>
      </w:r>
    </w:p>
    <w:p w:rsidR="00D40B36" w:rsidRPr="00D40B36" w:rsidRDefault="00D40B36" w:rsidP="00D40B36">
      <w:pPr>
        <w:numPr>
          <w:ilvl w:val="0"/>
          <w:numId w:val="35"/>
        </w:numPr>
        <w:suppressAutoHyphens w:val="0"/>
        <w:spacing w:before="100" w:beforeAutospacing="1" w:after="100" w:afterAutospacing="1"/>
        <w:rPr>
          <w:rFonts w:ascii="Tahoma" w:hAnsi="Tahoma" w:cs="Tahoma"/>
          <w:color w:val="auto"/>
          <w:sz w:val="22"/>
          <w:szCs w:val="22"/>
          <w:lang w:eastAsia="pt-BR"/>
        </w:rPr>
      </w:pPr>
      <w:r w:rsidRPr="00E43B03">
        <w:rPr>
          <w:rFonts w:ascii="Tahoma" w:hAnsi="Tahoma" w:cs="Tahoma"/>
          <w:bCs/>
          <w:color w:val="auto"/>
          <w:sz w:val="22"/>
          <w:szCs w:val="22"/>
          <w:lang w:eastAsia="pt-BR"/>
        </w:rPr>
        <w:t>vedação expressa ao uso de poços em áreas servidas por rede pública</w:t>
      </w:r>
      <w:r w:rsidRPr="00D40B36">
        <w:rPr>
          <w:rFonts w:ascii="Tahoma" w:hAnsi="Tahoma" w:cs="Tahoma"/>
          <w:color w:val="auto"/>
          <w:sz w:val="22"/>
          <w:szCs w:val="22"/>
          <w:lang w:eastAsia="pt-BR"/>
        </w:rPr>
        <w:t>;</w:t>
      </w:r>
    </w:p>
    <w:p w:rsidR="00D40B36" w:rsidRPr="00D40B36" w:rsidRDefault="00D40B36" w:rsidP="00D40B36">
      <w:pPr>
        <w:numPr>
          <w:ilvl w:val="0"/>
          <w:numId w:val="35"/>
        </w:numPr>
        <w:suppressAutoHyphens w:val="0"/>
        <w:spacing w:before="100" w:beforeAutospacing="1" w:after="100" w:afterAutospacing="1"/>
        <w:rPr>
          <w:rFonts w:ascii="Tahoma" w:hAnsi="Tahoma" w:cs="Tahoma"/>
          <w:color w:val="auto"/>
          <w:sz w:val="22"/>
          <w:szCs w:val="22"/>
          <w:lang w:eastAsia="pt-BR"/>
        </w:rPr>
      </w:pPr>
      <w:r w:rsidRPr="00E43B03">
        <w:rPr>
          <w:rFonts w:ascii="Tahoma" w:hAnsi="Tahoma" w:cs="Tahoma"/>
          <w:bCs/>
          <w:color w:val="auto"/>
          <w:sz w:val="22"/>
          <w:szCs w:val="22"/>
          <w:lang w:eastAsia="pt-BR"/>
        </w:rPr>
        <w:t>criação de salvaguardas ambientais obrigatórias</w:t>
      </w:r>
      <w:r w:rsidRPr="00D40B36">
        <w:rPr>
          <w:rFonts w:ascii="Tahoma" w:hAnsi="Tahoma" w:cs="Tahoma"/>
          <w:color w:val="auto"/>
          <w:sz w:val="22"/>
          <w:szCs w:val="22"/>
          <w:lang w:eastAsia="pt-BR"/>
        </w:rPr>
        <w:t>.</w:t>
      </w:r>
    </w:p>
    <w:p w:rsidR="00E43B03" w:rsidRPr="00E43B03" w:rsidRDefault="00E43B03" w:rsidP="00E43B03">
      <w:pPr>
        <w:pStyle w:val="Ttulo1"/>
        <w:rPr>
          <w:rFonts w:ascii="Tahoma" w:hAnsi="Tahoma" w:cs="Tahoma"/>
          <w:sz w:val="22"/>
          <w:szCs w:val="22"/>
        </w:rPr>
      </w:pPr>
      <w:bookmarkStart w:id="2" w:name="_GoBack"/>
      <w:r w:rsidRPr="00E43B03">
        <w:rPr>
          <w:rStyle w:val="Forte"/>
          <w:rFonts w:ascii="Tahoma" w:hAnsi="Tahoma" w:cs="Tahoma"/>
          <w:b/>
          <w:bCs/>
          <w:sz w:val="22"/>
          <w:szCs w:val="22"/>
        </w:rPr>
        <w:t>VII – FONTES E REFERÊNCIAS (SELECIONADAS — PRINCIPAIS)</w:t>
      </w:r>
    </w:p>
    <w:p w:rsidR="00E43B03" w:rsidRPr="00E43B03" w:rsidRDefault="00E43B03" w:rsidP="00E43B03">
      <w:pPr>
        <w:pStyle w:val="NormalWeb"/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Para subsidiar a análise ambiental, técnica/jurídica realizada por esta Comissão, foram consideradas as seguintes normas, decisões e documentos oficiais, selecionados por sua relevância direta ao objeto do Projeto de Lei nº 444/2025:</w:t>
      </w:r>
    </w:p>
    <w:p w:rsidR="00E43B03" w:rsidRPr="00E43B03" w:rsidRDefault="00E43B03" w:rsidP="00E43B03">
      <w:pPr>
        <w:pStyle w:val="Ttulo3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1. Legislação Federal</w:t>
      </w:r>
    </w:p>
    <w:p w:rsidR="00E43B03" w:rsidRPr="00E43B03" w:rsidRDefault="00E43B03" w:rsidP="00E43B03">
      <w:pPr>
        <w:pStyle w:val="NormalWeb"/>
        <w:numPr>
          <w:ilvl w:val="0"/>
          <w:numId w:val="36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Lei Federal nº 6.938/1981</w:t>
      </w:r>
      <w:r w:rsidRPr="00E43B03">
        <w:rPr>
          <w:rFonts w:ascii="Tahoma" w:hAnsi="Tahoma" w:cs="Tahoma"/>
          <w:sz w:val="22"/>
          <w:szCs w:val="22"/>
        </w:rPr>
        <w:t xml:space="preserve"> – Política Nacional do Meio Ambiente.</w:t>
      </w:r>
    </w:p>
    <w:p w:rsidR="00E43B03" w:rsidRPr="00E43B03" w:rsidRDefault="00E43B03" w:rsidP="00E43B03">
      <w:pPr>
        <w:pStyle w:val="NormalWeb"/>
        <w:numPr>
          <w:ilvl w:val="0"/>
          <w:numId w:val="36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Lei Federal nº 9.433/1997</w:t>
      </w:r>
      <w:r w:rsidRPr="00E43B03">
        <w:rPr>
          <w:rFonts w:ascii="Tahoma" w:hAnsi="Tahoma" w:cs="Tahoma"/>
          <w:sz w:val="22"/>
          <w:szCs w:val="22"/>
        </w:rPr>
        <w:t xml:space="preserve"> – Política Nacional de Recursos Hídricos.</w:t>
      </w:r>
    </w:p>
    <w:p w:rsidR="00E43B03" w:rsidRPr="00E43B03" w:rsidRDefault="00E43B03" w:rsidP="00E43B03">
      <w:pPr>
        <w:pStyle w:val="NormalWeb"/>
        <w:numPr>
          <w:ilvl w:val="0"/>
          <w:numId w:val="36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Lei Federal nº 11.445/2007</w:t>
      </w:r>
      <w:r w:rsidRPr="00E43B03">
        <w:rPr>
          <w:rFonts w:ascii="Tahoma" w:hAnsi="Tahoma" w:cs="Tahoma"/>
          <w:sz w:val="22"/>
          <w:szCs w:val="22"/>
        </w:rPr>
        <w:t xml:space="preserve"> – Diretrizes nacionais para o saneamento básico.</w:t>
      </w:r>
    </w:p>
    <w:p w:rsidR="00E43B03" w:rsidRPr="00E43B03" w:rsidRDefault="00E43B03" w:rsidP="00E43B03">
      <w:pPr>
        <w:pStyle w:val="NormalWeb"/>
        <w:numPr>
          <w:ilvl w:val="0"/>
          <w:numId w:val="36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Lei Federal nº 14.026/2020</w:t>
      </w:r>
      <w:r w:rsidRPr="00E43B03">
        <w:rPr>
          <w:rFonts w:ascii="Tahoma" w:hAnsi="Tahoma" w:cs="Tahoma"/>
          <w:sz w:val="22"/>
          <w:szCs w:val="22"/>
        </w:rPr>
        <w:t xml:space="preserve"> – Novo Marco Legal do Saneamento.</w:t>
      </w:r>
    </w:p>
    <w:p w:rsidR="00E43B03" w:rsidRPr="00E43B03" w:rsidRDefault="00E43B03" w:rsidP="00E43B03">
      <w:pPr>
        <w:pStyle w:val="Ttulo3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2. Legislação Estadual (Rio de Janeiro)</w:t>
      </w:r>
    </w:p>
    <w:p w:rsidR="00E43B03" w:rsidRPr="00E43B03" w:rsidRDefault="00E43B03" w:rsidP="00E43B03">
      <w:pPr>
        <w:pStyle w:val="NormalWeb"/>
        <w:numPr>
          <w:ilvl w:val="0"/>
          <w:numId w:val="37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Decreto Estadual nº 40.156/2006</w:t>
      </w:r>
      <w:r w:rsidRPr="00E43B03">
        <w:rPr>
          <w:rFonts w:ascii="Tahoma" w:hAnsi="Tahoma" w:cs="Tahoma"/>
          <w:sz w:val="22"/>
          <w:szCs w:val="22"/>
        </w:rPr>
        <w:t xml:space="preserve"> – Regulamenta o uso e a outorga de águas subterrâneas no Estado do RJ.</w:t>
      </w:r>
    </w:p>
    <w:p w:rsidR="00E43B03" w:rsidRPr="00E43B03" w:rsidRDefault="00E43B03" w:rsidP="00E43B03">
      <w:pPr>
        <w:pStyle w:val="NormalWeb"/>
        <w:numPr>
          <w:ilvl w:val="0"/>
          <w:numId w:val="37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Portaria SERLA nº 555/2007</w:t>
      </w:r>
      <w:r w:rsidRPr="00E43B03">
        <w:rPr>
          <w:rFonts w:ascii="Tahoma" w:hAnsi="Tahoma" w:cs="Tahoma"/>
          <w:sz w:val="22"/>
          <w:szCs w:val="22"/>
        </w:rPr>
        <w:t xml:space="preserve"> – Define critérios técnicos e procedimentos para captação subterrânea no Estado.</w:t>
      </w:r>
    </w:p>
    <w:p w:rsidR="00E43B03" w:rsidRPr="00E43B03" w:rsidRDefault="00E43B03" w:rsidP="00E43B03">
      <w:pPr>
        <w:pStyle w:val="NormalWeb"/>
        <w:numPr>
          <w:ilvl w:val="0"/>
          <w:numId w:val="37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Resoluções e deliberações dos Comitês de Bacia Hidrográfica da Região</w:t>
      </w:r>
      <w:r w:rsidRPr="00E43B03">
        <w:rPr>
          <w:rFonts w:ascii="Tahoma" w:hAnsi="Tahoma" w:cs="Tahoma"/>
          <w:sz w:val="22"/>
          <w:szCs w:val="22"/>
        </w:rPr>
        <w:t>.</w:t>
      </w:r>
    </w:p>
    <w:p w:rsidR="00E43B03" w:rsidRPr="00E43B03" w:rsidRDefault="00E43B03" w:rsidP="00E43B03">
      <w:pPr>
        <w:pStyle w:val="Ttulo3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3. Decisões Judiciais</w:t>
      </w:r>
    </w:p>
    <w:p w:rsidR="00E43B03" w:rsidRPr="00E43B03" w:rsidRDefault="00E43B03" w:rsidP="00E43B03">
      <w:pPr>
        <w:pStyle w:val="NormalWeb"/>
        <w:numPr>
          <w:ilvl w:val="0"/>
          <w:numId w:val="38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Incidente de Resolução de Demandas Repetitivas (IRDR) – Tribunal de Justiça do Estado do Rio de Janeiro (TJRJ)</w:t>
      </w:r>
      <w:r w:rsidRPr="00E43B03">
        <w:rPr>
          <w:rFonts w:ascii="Tahoma" w:hAnsi="Tahoma" w:cs="Tahoma"/>
          <w:sz w:val="22"/>
          <w:szCs w:val="22"/>
        </w:rPr>
        <w:br/>
        <w:t xml:space="preserve">– Tema: </w:t>
      </w:r>
      <w:r w:rsidRPr="00E43B03">
        <w:rPr>
          <w:rStyle w:val="Forte"/>
          <w:rFonts w:ascii="Tahoma" w:hAnsi="Tahoma" w:cs="Tahoma"/>
          <w:sz w:val="22"/>
          <w:szCs w:val="22"/>
        </w:rPr>
        <w:t>Proibição do uso de poços artesianos em imóveis localizados em áreas atendidas pela rede pública de abastecimento</w:t>
      </w:r>
      <w:r w:rsidRPr="00E43B03">
        <w:rPr>
          <w:rFonts w:ascii="Tahoma" w:hAnsi="Tahoma" w:cs="Tahoma"/>
          <w:sz w:val="22"/>
          <w:szCs w:val="22"/>
        </w:rPr>
        <w:t>, ainda que regularizados.</w:t>
      </w:r>
      <w:r w:rsidRPr="00E43B03">
        <w:rPr>
          <w:rFonts w:ascii="Tahoma" w:hAnsi="Tahoma" w:cs="Tahoma"/>
          <w:sz w:val="22"/>
          <w:szCs w:val="22"/>
        </w:rPr>
        <w:br/>
        <w:t>– Fundamentos: risco sanitário, equilíbrio econômico do sistema público e proteção dos aquíferos.</w:t>
      </w:r>
      <w:r w:rsidRPr="00E43B03">
        <w:rPr>
          <w:rFonts w:ascii="Tahoma" w:hAnsi="Tahoma" w:cs="Tahoma"/>
          <w:sz w:val="22"/>
          <w:szCs w:val="22"/>
        </w:rPr>
        <w:br/>
        <w:t>– Observância obrigatória por todos os magistrados do Estado e pela Administração Pública.</w:t>
      </w:r>
    </w:p>
    <w:p w:rsidR="00E43B03" w:rsidRPr="00E43B03" w:rsidRDefault="00E43B03" w:rsidP="00E43B03">
      <w:pPr>
        <w:pStyle w:val="Ttulo3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4. Normas e Órgãos Reguladores</w:t>
      </w:r>
    </w:p>
    <w:p w:rsidR="00E43B03" w:rsidRPr="00E43B03" w:rsidRDefault="00E43B03" w:rsidP="00E43B03">
      <w:pPr>
        <w:pStyle w:val="NormalWeb"/>
        <w:numPr>
          <w:ilvl w:val="0"/>
          <w:numId w:val="39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Instituto Estadual do Ambiente (INEA)</w:t>
      </w:r>
      <w:r w:rsidRPr="00E43B03">
        <w:rPr>
          <w:rFonts w:ascii="Tahoma" w:hAnsi="Tahoma" w:cs="Tahoma"/>
          <w:sz w:val="22"/>
          <w:szCs w:val="22"/>
        </w:rPr>
        <w:t xml:space="preserve"> – Procedimentos e diretrizes para outorga de direito de uso dos recursos hídricos.</w:t>
      </w:r>
    </w:p>
    <w:p w:rsidR="00E43B03" w:rsidRPr="00E43B03" w:rsidRDefault="00E43B03" w:rsidP="00E43B03">
      <w:pPr>
        <w:pStyle w:val="NormalWeb"/>
        <w:numPr>
          <w:ilvl w:val="0"/>
          <w:numId w:val="39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Agência Nacional de Águas e Saneamento Básico (ANA)</w:t>
      </w:r>
      <w:r w:rsidRPr="00E43B03">
        <w:rPr>
          <w:rFonts w:ascii="Tahoma" w:hAnsi="Tahoma" w:cs="Tahoma"/>
          <w:sz w:val="22"/>
          <w:szCs w:val="22"/>
        </w:rPr>
        <w:t xml:space="preserve"> – Diretrizes gerais de gestão hídrica e instrumentos de planejamento.</w:t>
      </w:r>
    </w:p>
    <w:p w:rsidR="00E43B03" w:rsidRPr="00E43B03" w:rsidRDefault="00E43B03" w:rsidP="00E43B03">
      <w:pPr>
        <w:pStyle w:val="NormalWeb"/>
        <w:numPr>
          <w:ilvl w:val="0"/>
          <w:numId w:val="39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lastRenderedPageBreak/>
        <w:t>Comitês de Bacia Hidrográfica</w:t>
      </w:r>
      <w:r w:rsidRPr="00E43B03">
        <w:rPr>
          <w:rFonts w:ascii="Tahoma" w:hAnsi="Tahoma" w:cs="Tahoma"/>
          <w:sz w:val="22"/>
          <w:szCs w:val="22"/>
        </w:rPr>
        <w:t xml:space="preserve"> – Planos e recomendações técnicas para uso sustentável da água na Região Hidrográfica a que pertence o Município de Niterói.</w:t>
      </w:r>
    </w:p>
    <w:p w:rsidR="00E43B03" w:rsidRPr="00E43B03" w:rsidRDefault="00E43B03" w:rsidP="00E43B03">
      <w:pPr>
        <w:pStyle w:val="Ttulo3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5. Documentos Técnicos Relacionados ao PL</w:t>
      </w:r>
    </w:p>
    <w:p w:rsidR="00E43B03" w:rsidRPr="00E43B03" w:rsidRDefault="00E43B03" w:rsidP="00E43B03">
      <w:pPr>
        <w:pStyle w:val="NormalWeb"/>
        <w:numPr>
          <w:ilvl w:val="0"/>
          <w:numId w:val="40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sz w:val="22"/>
          <w:szCs w:val="22"/>
        </w:rPr>
        <w:t>Ofício nº 411/2025 – Águas de Niterói</w:t>
      </w:r>
      <w:r w:rsidRPr="00E43B03">
        <w:rPr>
          <w:rFonts w:ascii="Tahoma" w:hAnsi="Tahoma" w:cs="Tahoma"/>
          <w:sz w:val="22"/>
          <w:szCs w:val="22"/>
        </w:rPr>
        <w:br/>
        <w:t>– Contribuições técnicas e ambientais quanto aos riscos de superexploração, contaminação, interpretação jurídica e impacto no sistema de abastecimento.</w:t>
      </w:r>
    </w:p>
    <w:p w:rsidR="00E43B03" w:rsidRPr="00E43B03" w:rsidRDefault="00E43B03" w:rsidP="00E43B03">
      <w:pPr>
        <w:pStyle w:val="Ttulo3"/>
        <w:rPr>
          <w:rFonts w:ascii="Tahoma" w:hAnsi="Tahoma" w:cs="Tahoma"/>
          <w:sz w:val="22"/>
          <w:szCs w:val="22"/>
        </w:rPr>
      </w:pPr>
      <w:r w:rsidRPr="00E43B03">
        <w:rPr>
          <w:rStyle w:val="Forte"/>
          <w:rFonts w:ascii="Tahoma" w:hAnsi="Tahoma" w:cs="Tahoma"/>
          <w:b/>
          <w:bCs w:val="0"/>
          <w:sz w:val="22"/>
          <w:szCs w:val="22"/>
        </w:rPr>
        <w:t>6. Referenciais Técnicos e Científicos (no âmbito da Comissão)</w:t>
      </w:r>
    </w:p>
    <w:p w:rsidR="00E43B03" w:rsidRPr="00E43B03" w:rsidRDefault="00E43B03" w:rsidP="00E43B03">
      <w:pPr>
        <w:pStyle w:val="NormalWeb"/>
        <w:numPr>
          <w:ilvl w:val="0"/>
          <w:numId w:val="41"/>
        </w:numPr>
        <w:suppressAutoHyphens w:val="0"/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E43B03">
        <w:rPr>
          <w:rFonts w:ascii="Tahoma" w:hAnsi="Tahoma" w:cs="Tahoma"/>
          <w:sz w:val="22"/>
          <w:szCs w:val="22"/>
        </w:rPr>
        <w:t>Estudos de impacto ambiental relacionados a captação subterrânea publicados por universidades, centros de pesquisa e órgãos de fiscalização.</w:t>
      </w:r>
    </w:p>
    <w:p w:rsidR="00E43B03" w:rsidRDefault="00E43B03" w:rsidP="001E44B8">
      <w:pPr>
        <w:pStyle w:val="NormalWeb"/>
        <w:suppressAutoHyphens w:val="0"/>
        <w:spacing w:before="100" w:beforeAutospacing="1" w:after="100" w:afterAutospacing="1"/>
        <w:ind w:left="720"/>
        <w:rPr>
          <w:rFonts w:ascii="Tahoma" w:hAnsi="Tahoma" w:cs="Tahoma"/>
          <w:sz w:val="22"/>
          <w:szCs w:val="22"/>
        </w:rPr>
      </w:pPr>
    </w:p>
    <w:bookmarkEnd w:id="2"/>
    <w:p w:rsidR="00C05F48" w:rsidRPr="00E43B03" w:rsidRDefault="00913557">
      <w:pPr>
        <w:jc w:val="right"/>
        <w:rPr>
          <w:rFonts w:ascii="Tahoma" w:eastAsia="Tahoma" w:hAnsi="Tahoma" w:cs="Tahoma"/>
        </w:rPr>
      </w:pPr>
      <w:r w:rsidRPr="00E43B03">
        <w:rPr>
          <w:rFonts w:ascii="Tahoma" w:eastAsia="Tahoma" w:hAnsi="Tahoma" w:cs="Tahoma"/>
        </w:rPr>
        <w:t xml:space="preserve">Sala das Sessões, </w:t>
      </w:r>
      <w:r w:rsidR="00E43B03" w:rsidRPr="00E43B03">
        <w:rPr>
          <w:rFonts w:ascii="Tahoma" w:eastAsia="Tahoma" w:hAnsi="Tahoma" w:cs="Tahoma"/>
        </w:rPr>
        <w:t>0</w:t>
      </w:r>
      <w:r w:rsidR="0094391E" w:rsidRPr="00E43B03">
        <w:rPr>
          <w:rFonts w:ascii="Tahoma" w:eastAsia="Tahoma" w:hAnsi="Tahoma" w:cs="Tahoma"/>
        </w:rPr>
        <w:t>9</w:t>
      </w:r>
      <w:r w:rsidR="00B24CF3" w:rsidRPr="00E43B03">
        <w:rPr>
          <w:rFonts w:ascii="Tahoma" w:eastAsia="Tahoma" w:hAnsi="Tahoma" w:cs="Tahoma"/>
        </w:rPr>
        <w:t xml:space="preserve"> de </w:t>
      </w:r>
      <w:r w:rsidR="00E43B03" w:rsidRPr="00E43B03">
        <w:rPr>
          <w:rFonts w:ascii="Tahoma" w:eastAsia="Tahoma" w:hAnsi="Tahoma" w:cs="Tahoma"/>
        </w:rPr>
        <w:t>dezembro</w:t>
      </w:r>
      <w:r w:rsidR="00B24CF3" w:rsidRPr="00E43B03">
        <w:rPr>
          <w:rFonts w:ascii="Tahoma" w:eastAsia="Tahoma" w:hAnsi="Tahoma" w:cs="Tahoma"/>
        </w:rPr>
        <w:t xml:space="preserve"> de 202</w:t>
      </w:r>
      <w:r w:rsidR="003A5996" w:rsidRPr="00E43B03">
        <w:rPr>
          <w:rFonts w:ascii="Tahoma" w:eastAsia="Tahoma" w:hAnsi="Tahoma" w:cs="Tahoma"/>
        </w:rPr>
        <w:t>5</w:t>
      </w:r>
    </w:p>
    <w:p w:rsidR="00C05F48" w:rsidRPr="00E43B03" w:rsidRDefault="00C05F48">
      <w:pPr>
        <w:jc w:val="both"/>
        <w:rPr>
          <w:rFonts w:ascii="Tahoma" w:eastAsia="Tahoma" w:hAnsi="Tahoma" w:cs="Tahoma"/>
        </w:rPr>
      </w:pPr>
    </w:p>
    <w:p w:rsidR="00C05F48" w:rsidRPr="00E43B03" w:rsidRDefault="00C05F48">
      <w:pPr>
        <w:jc w:val="both"/>
        <w:rPr>
          <w:rFonts w:ascii="Tahoma" w:eastAsia="Tahoma" w:hAnsi="Tahoma" w:cs="Tahoma"/>
        </w:rPr>
      </w:pPr>
    </w:p>
    <w:p w:rsidR="00C05F48" w:rsidRPr="00E43B03" w:rsidRDefault="00C05F48">
      <w:pPr>
        <w:jc w:val="both"/>
        <w:rPr>
          <w:rFonts w:ascii="Tahoma" w:eastAsia="Tahoma" w:hAnsi="Tahoma" w:cs="Tahoma"/>
        </w:rPr>
      </w:pPr>
    </w:p>
    <w:p w:rsidR="00C05F48" w:rsidRPr="00E43B03" w:rsidRDefault="00C05F48" w:rsidP="00F667AE">
      <w:pPr>
        <w:jc w:val="center"/>
        <w:rPr>
          <w:rFonts w:ascii="Tahoma" w:eastAsia="Tahoma" w:hAnsi="Tahoma" w:cs="Tahoma"/>
        </w:rPr>
      </w:pPr>
    </w:p>
    <w:p w:rsidR="00F667AE" w:rsidRPr="00E43B03" w:rsidRDefault="00F667AE" w:rsidP="00F667AE">
      <w:pPr>
        <w:jc w:val="center"/>
        <w:rPr>
          <w:rFonts w:ascii="Tahoma" w:hAnsi="Tahoma" w:cs="Tahoma"/>
        </w:rPr>
      </w:pPr>
      <w:r w:rsidRPr="00E43B03">
        <w:rPr>
          <w:rFonts w:ascii="Tahoma" w:eastAsia="Tahoma" w:hAnsi="Tahoma" w:cs="Tahoma"/>
        </w:rPr>
        <w:t>_________________________________________</w:t>
      </w:r>
    </w:p>
    <w:p w:rsidR="00F667AE" w:rsidRPr="00E43B03" w:rsidRDefault="00F667AE" w:rsidP="00F667AE">
      <w:pPr>
        <w:jc w:val="center"/>
        <w:rPr>
          <w:rFonts w:ascii="Tahoma" w:eastAsia="Tahoma" w:hAnsi="Tahoma" w:cs="Tahoma"/>
          <w:b/>
        </w:rPr>
      </w:pPr>
      <w:r w:rsidRPr="00E43B03">
        <w:rPr>
          <w:rFonts w:ascii="Tahoma" w:eastAsia="Tahoma" w:hAnsi="Tahoma" w:cs="Tahoma"/>
          <w:b/>
        </w:rPr>
        <w:t>Daniel Marques Frederico</w:t>
      </w:r>
    </w:p>
    <w:p w:rsidR="003E1347" w:rsidRPr="00E43B03" w:rsidRDefault="003E1347" w:rsidP="00F667AE">
      <w:pPr>
        <w:jc w:val="center"/>
        <w:rPr>
          <w:rFonts w:ascii="Tahoma" w:eastAsia="Tahoma" w:hAnsi="Tahoma" w:cs="Tahoma"/>
          <w:b/>
        </w:rPr>
      </w:pPr>
      <w:r w:rsidRPr="00E43B03">
        <w:rPr>
          <w:rFonts w:ascii="Tahoma" w:eastAsia="Tahoma" w:hAnsi="Tahoma" w:cs="Tahoma"/>
          <w:b/>
        </w:rPr>
        <w:t>Vereador</w:t>
      </w:r>
    </w:p>
    <w:p w:rsidR="00F667AE" w:rsidRPr="00E43B03" w:rsidRDefault="00F667AE" w:rsidP="00F667AE">
      <w:pPr>
        <w:jc w:val="center"/>
        <w:rPr>
          <w:rFonts w:ascii="Tahoma" w:eastAsia="Tahoma" w:hAnsi="Tahoma" w:cs="Tahoma"/>
          <w:b/>
        </w:rPr>
      </w:pPr>
      <w:r w:rsidRPr="00E43B03">
        <w:rPr>
          <w:rFonts w:ascii="Tahoma" w:eastAsia="Tahoma" w:hAnsi="Tahoma" w:cs="Tahoma"/>
          <w:b/>
        </w:rPr>
        <w:t>Presidente C</w:t>
      </w:r>
      <w:r w:rsidR="003A5996" w:rsidRPr="00E43B03">
        <w:rPr>
          <w:rFonts w:ascii="Tahoma" w:eastAsia="Tahoma" w:hAnsi="Tahoma" w:cs="Tahoma"/>
          <w:b/>
        </w:rPr>
        <w:t>A</w:t>
      </w:r>
      <w:r w:rsidRPr="00E43B03">
        <w:rPr>
          <w:rFonts w:ascii="Tahoma" w:eastAsia="Tahoma" w:hAnsi="Tahoma" w:cs="Tahoma"/>
          <w:b/>
        </w:rPr>
        <w:t>D</w:t>
      </w:r>
      <w:r w:rsidR="003A5996" w:rsidRPr="00E43B03">
        <w:rPr>
          <w:rFonts w:ascii="Tahoma" w:eastAsia="Tahoma" w:hAnsi="Tahoma" w:cs="Tahoma"/>
          <w:b/>
        </w:rPr>
        <w:t>A</w:t>
      </w:r>
    </w:p>
    <w:p w:rsidR="00C96848" w:rsidRPr="00E43B03" w:rsidRDefault="00C96848" w:rsidP="00F667AE">
      <w:pPr>
        <w:jc w:val="center"/>
        <w:rPr>
          <w:rFonts w:ascii="Tahoma" w:eastAsia="Tahoma" w:hAnsi="Tahoma" w:cs="Tahoma"/>
        </w:rPr>
      </w:pPr>
    </w:p>
    <w:p w:rsidR="00C96848" w:rsidRPr="00E43B03" w:rsidRDefault="00C96848" w:rsidP="00F667AE">
      <w:pPr>
        <w:jc w:val="center"/>
        <w:rPr>
          <w:rFonts w:ascii="Tahoma" w:eastAsia="Tahoma" w:hAnsi="Tahoma" w:cs="Tahoma"/>
        </w:rPr>
      </w:pPr>
    </w:p>
    <w:p w:rsidR="00C96848" w:rsidRPr="00E43B03" w:rsidRDefault="00C96848" w:rsidP="00F667AE">
      <w:pPr>
        <w:jc w:val="center"/>
        <w:rPr>
          <w:rFonts w:ascii="Tahoma" w:eastAsia="Tahoma" w:hAnsi="Tahoma" w:cs="Tahoma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R="00C96848" w:rsidRPr="00E43B03" w:rsidTr="00C96848">
        <w:tc>
          <w:tcPr>
            <w:tcW w:w="4814" w:type="dxa"/>
          </w:tcPr>
          <w:p w:rsidR="00C96848" w:rsidRPr="00E43B03" w:rsidRDefault="00C96848" w:rsidP="00F667AE">
            <w:pPr>
              <w:jc w:val="center"/>
              <w:rPr>
                <w:rFonts w:ascii="Tahoma" w:eastAsia="Tahoma" w:hAnsi="Tahoma" w:cs="Tahoma"/>
                <w:b/>
              </w:rPr>
            </w:pPr>
            <w:r w:rsidRPr="00E43B03">
              <w:rPr>
                <w:rFonts w:ascii="Tahoma" w:eastAsia="Tahoma" w:hAnsi="Tahoma" w:cs="Tahoma"/>
                <w:b/>
              </w:rPr>
              <w:t>_____________________________</w:t>
            </w:r>
          </w:p>
          <w:p w:rsidR="003E1347" w:rsidRPr="00E43B03" w:rsidRDefault="003E1347" w:rsidP="003E1347">
            <w:pPr>
              <w:spacing w:line="360" w:lineRule="auto"/>
              <w:rPr>
                <w:rFonts w:ascii="Tahoma" w:hAnsi="Tahoma" w:cs="Tahoma"/>
                <w:b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Roberto Jales – Beto da Pipa</w:t>
            </w:r>
          </w:p>
          <w:p w:rsidR="003E1347" w:rsidRPr="00E43B03" w:rsidRDefault="003E1347" w:rsidP="003E1347">
            <w:pPr>
              <w:spacing w:line="360" w:lineRule="auto"/>
              <w:rPr>
                <w:rFonts w:ascii="Tahoma" w:hAnsi="Tahoma" w:cs="Tahoma"/>
                <w:b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               Vereador  </w:t>
            </w:r>
          </w:p>
          <w:p w:rsidR="00C96848" w:rsidRPr="00E43B03" w:rsidRDefault="003E1347" w:rsidP="003E1347">
            <w:pPr>
              <w:spacing w:line="360" w:lineRule="auto"/>
              <w:rPr>
                <w:rFonts w:ascii="Tahoma" w:eastAsia="Tahoma" w:hAnsi="Tahoma" w:cs="Tahoma"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       </w:t>
            </w:r>
            <w:r w:rsidR="00C96848" w:rsidRPr="00E43B03">
              <w:rPr>
                <w:rFonts w:ascii="Tahoma" w:eastAsia="Tahoma" w:hAnsi="Tahoma" w:cs="Tahoma"/>
                <w:b/>
              </w:rPr>
              <w:t>Vice Presidente</w:t>
            </w:r>
            <w:r w:rsidR="003A5996" w:rsidRPr="00E43B03">
              <w:rPr>
                <w:rFonts w:ascii="Tahoma" w:eastAsia="Tahoma" w:hAnsi="Tahoma" w:cs="Tahoma"/>
                <w:b/>
              </w:rPr>
              <w:t xml:space="preserve"> </w:t>
            </w:r>
            <w:r w:rsidRPr="00E43B03">
              <w:rPr>
                <w:rFonts w:ascii="Tahoma" w:eastAsia="Tahoma" w:hAnsi="Tahoma" w:cs="Tahoma"/>
                <w:b/>
              </w:rPr>
              <w:t xml:space="preserve">- </w:t>
            </w:r>
            <w:r w:rsidR="00E36D5E" w:rsidRPr="00E43B03">
              <w:rPr>
                <w:rFonts w:ascii="Tahoma" w:eastAsia="Tahoma" w:hAnsi="Tahoma" w:cs="Tahoma"/>
                <w:b/>
              </w:rPr>
              <w:t>C</w:t>
            </w:r>
            <w:r w:rsidR="003A5996" w:rsidRPr="00E43B03">
              <w:rPr>
                <w:rFonts w:ascii="Tahoma" w:eastAsia="Tahoma" w:hAnsi="Tahoma" w:cs="Tahoma"/>
                <w:b/>
              </w:rPr>
              <w:t>A</w:t>
            </w:r>
            <w:r w:rsidR="00E36D5E" w:rsidRPr="00E43B03">
              <w:rPr>
                <w:rFonts w:ascii="Tahoma" w:eastAsia="Tahoma" w:hAnsi="Tahoma" w:cs="Tahoma"/>
                <w:b/>
              </w:rPr>
              <w:t>D</w:t>
            </w:r>
            <w:r w:rsidR="003A5996" w:rsidRPr="00E43B03">
              <w:rPr>
                <w:rFonts w:ascii="Tahoma" w:eastAsia="Tahoma" w:hAnsi="Tahoma" w:cs="Tahoma"/>
                <w:b/>
              </w:rPr>
              <w:t>A</w:t>
            </w:r>
          </w:p>
        </w:tc>
        <w:tc>
          <w:tcPr>
            <w:tcW w:w="4814" w:type="dxa"/>
          </w:tcPr>
          <w:p w:rsidR="00C96848" w:rsidRPr="00E43B03" w:rsidRDefault="00C96848" w:rsidP="00C96848">
            <w:pPr>
              <w:jc w:val="center"/>
              <w:rPr>
                <w:rFonts w:ascii="Tahoma" w:eastAsia="Tahoma" w:hAnsi="Tahoma" w:cs="Tahoma"/>
                <w:b/>
              </w:rPr>
            </w:pPr>
            <w:r w:rsidRPr="00E43B03">
              <w:rPr>
                <w:rFonts w:ascii="Tahoma" w:eastAsia="Tahoma" w:hAnsi="Tahoma" w:cs="Tahoma"/>
                <w:b/>
              </w:rPr>
              <w:t>_____________________________</w:t>
            </w:r>
          </w:p>
          <w:p w:rsidR="003E1347" w:rsidRPr="00E43B03" w:rsidRDefault="003E1347" w:rsidP="003E1347">
            <w:pPr>
              <w:spacing w:line="360" w:lineRule="auto"/>
              <w:rPr>
                <w:rFonts w:ascii="Tahoma" w:hAnsi="Tahoma" w:cs="Tahoma"/>
                <w:b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          Leandro Portugal</w:t>
            </w:r>
          </w:p>
          <w:p w:rsidR="003E1347" w:rsidRPr="00E43B03" w:rsidRDefault="003E1347" w:rsidP="003E1347">
            <w:pPr>
              <w:spacing w:line="360" w:lineRule="auto"/>
              <w:rPr>
                <w:rFonts w:ascii="Tahoma" w:hAnsi="Tahoma" w:cs="Tahoma"/>
                <w:b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                Vereador </w:t>
            </w:r>
          </w:p>
          <w:p w:rsidR="00C96848" w:rsidRPr="00E43B03" w:rsidRDefault="003E1347" w:rsidP="003E1347">
            <w:pPr>
              <w:spacing w:line="360" w:lineRule="auto"/>
              <w:rPr>
                <w:rFonts w:ascii="Tahoma" w:eastAsia="Tahoma" w:hAnsi="Tahoma" w:cs="Tahoma"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           Membro</w:t>
            </w:r>
            <w:r w:rsidRPr="00E43B03">
              <w:rPr>
                <w:rFonts w:ascii="Tahoma" w:eastAsia="Tahoma" w:hAnsi="Tahoma" w:cs="Tahoma"/>
                <w:b/>
              </w:rPr>
              <w:t xml:space="preserve"> - CADA</w:t>
            </w:r>
          </w:p>
        </w:tc>
      </w:tr>
    </w:tbl>
    <w:p w:rsidR="003E1347" w:rsidRPr="00E43B03" w:rsidRDefault="003E1347" w:rsidP="003E1347">
      <w:pPr>
        <w:spacing w:line="360" w:lineRule="auto"/>
        <w:rPr>
          <w:rFonts w:ascii="Tahoma" w:hAnsi="Tahoma" w:cs="Tahoma"/>
          <w:b/>
        </w:rPr>
      </w:pPr>
      <w:r w:rsidRPr="00E43B03">
        <w:rPr>
          <w:rFonts w:ascii="Tahoma" w:hAnsi="Tahoma" w:cs="Tahoma"/>
          <w:b/>
        </w:rPr>
        <w:t xml:space="preserve">                     </w:t>
      </w:r>
    </w:p>
    <w:p w:rsidR="007F07F4" w:rsidRPr="00E43B03" w:rsidRDefault="007F07F4" w:rsidP="003E1347">
      <w:pPr>
        <w:spacing w:line="360" w:lineRule="auto"/>
        <w:rPr>
          <w:rFonts w:ascii="Tahoma" w:hAnsi="Tahoma" w:cs="Tahoma"/>
          <w:b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R="003E1347" w:rsidRPr="00E43B03" w:rsidTr="007B36FD">
        <w:tc>
          <w:tcPr>
            <w:tcW w:w="4814" w:type="dxa"/>
          </w:tcPr>
          <w:p w:rsidR="003E1347" w:rsidRPr="00E43B03" w:rsidRDefault="003E1347" w:rsidP="007B36FD">
            <w:pPr>
              <w:jc w:val="center"/>
              <w:rPr>
                <w:rFonts w:ascii="Tahoma" w:eastAsia="Tahoma" w:hAnsi="Tahoma" w:cs="Tahoma"/>
                <w:b/>
              </w:rPr>
            </w:pPr>
            <w:r w:rsidRPr="00E43B03">
              <w:rPr>
                <w:rFonts w:ascii="Tahoma" w:eastAsia="Tahoma" w:hAnsi="Tahoma" w:cs="Tahoma"/>
                <w:b/>
              </w:rPr>
              <w:t>_____________________________</w:t>
            </w:r>
          </w:p>
          <w:p w:rsidR="003E1347" w:rsidRPr="00E43B03" w:rsidRDefault="003E1347" w:rsidP="003E1347">
            <w:pPr>
              <w:spacing w:line="360" w:lineRule="auto"/>
              <w:rPr>
                <w:rFonts w:ascii="Tahoma" w:hAnsi="Tahoma" w:cs="Tahoma"/>
                <w:b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         Professor </w:t>
            </w:r>
            <w:r w:rsidR="007F07F4" w:rsidRPr="00E43B03">
              <w:rPr>
                <w:rFonts w:ascii="Tahoma" w:hAnsi="Tahoma" w:cs="Tahoma"/>
                <w:b/>
              </w:rPr>
              <w:t>Túlio</w:t>
            </w:r>
          </w:p>
          <w:p w:rsidR="003E1347" w:rsidRPr="00E43B03" w:rsidRDefault="003E1347" w:rsidP="007B36FD">
            <w:pPr>
              <w:spacing w:line="360" w:lineRule="auto"/>
              <w:rPr>
                <w:rFonts w:ascii="Tahoma" w:hAnsi="Tahoma" w:cs="Tahoma"/>
                <w:b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               Vereador  </w:t>
            </w:r>
          </w:p>
          <w:p w:rsidR="003E1347" w:rsidRPr="00E43B03" w:rsidRDefault="003E1347" w:rsidP="003E1347">
            <w:pPr>
              <w:spacing w:line="360" w:lineRule="auto"/>
              <w:rPr>
                <w:rFonts w:ascii="Tahoma" w:eastAsia="Tahoma" w:hAnsi="Tahoma" w:cs="Tahoma"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   </w:t>
            </w:r>
            <w:r w:rsidR="007F07F4" w:rsidRPr="00E43B03">
              <w:rPr>
                <w:rFonts w:ascii="Tahoma" w:hAnsi="Tahoma" w:cs="Tahoma"/>
                <w:b/>
              </w:rPr>
              <w:t xml:space="preserve">    </w:t>
            </w:r>
            <w:r w:rsidRPr="00E43B03">
              <w:rPr>
                <w:rFonts w:ascii="Tahoma" w:hAnsi="Tahoma" w:cs="Tahoma"/>
                <w:b/>
              </w:rPr>
              <w:t xml:space="preserve">    Membro</w:t>
            </w:r>
            <w:r w:rsidRPr="00E43B03">
              <w:rPr>
                <w:rFonts w:ascii="Tahoma" w:eastAsia="Tahoma" w:hAnsi="Tahoma" w:cs="Tahoma"/>
                <w:b/>
              </w:rPr>
              <w:t xml:space="preserve"> CADA</w:t>
            </w:r>
          </w:p>
        </w:tc>
        <w:tc>
          <w:tcPr>
            <w:tcW w:w="4814" w:type="dxa"/>
          </w:tcPr>
          <w:p w:rsidR="003E1347" w:rsidRPr="00E43B03" w:rsidRDefault="003E1347" w:rsidP="003E1347">
            <w:pPr>
              <w:jc w:val="center"/>
              <w:rPr>
                <w:rFonts w:ascii="Tahoma" w:eastAsia="Tahoma" w:hAnsi="Tahoma" w:cs="Tahoma"/>
                <w:b/>
              </w:rPr>
            </w:pPr>
            <w:r w:rsidRPr="00E43B03">
              <w:rPr>
                <w:rFonts w:ascii="Tahoma" w:eastAsia="Tahoma" w:hAnsi="Tahoma" w:cs="Tahoma"/>
                <w:b/>
              </w:rPr>
              <w:t>_____________________________</w:t>
            </w:r>
          </w:p>
          <w:p w:rsidR="007F07F4" w:rsidRPr="00E43B03" w:rsidRDefault="003E1347" w:rsidP="003E1347">
            <w:pPr>
              <w:spacing w:line="360" w:lineRule="auto"/>
              <w:rPr>
                <w:rFonts w:ascii="Tahoma" w:hAnsi="Tahoma" w:cs="Tahoma"/>
                <w:b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          Jhonatan Anjos                                                </w:t>
            </w:r>
            <w:r w:rsidR="007F07F4" w:rsidRPr="00E43B03">
              <w:rPr>
                <w:rFonts w:ascii="Tahoma" w:hAnsi="Tahoma" w:cs="Tahoma"/>
                <w:b/>
              </w:rPr>
              <w:t xml:space="preserve">            </w:t>
            </w:r>
          </w:p>
          <w:p w:rsidR="007F07F4" w:rsidRPr="00E43B03" w:rsidRDefault="003E1347" w:rsidP="007F07F4">
            <w:pPr>
              <w:spacing w:line="360" w:lineRule="auto"/>
              <w:rPr>
                <w:rFonts w:ascii="Tahoma" w:hAnsi="Tahoma" w:cs="Tahoma"/>
                <w:b/>
              </w:rPr>
            </w:pPr>
            <w:r w:rsidRPr="00E43B03">
              <w:rPr>
                <w:rFonts w:ascii="Tahoma" w:hAnsi="Tahoma" w:cs="Tahoma"/>
                <w:b/>
              </w:rPr>
              <w:t xml:space="preserve"> </w:t>
            </w:r>
            <w:r w:rsidR="007F07F4" w:rsidRPr="00E43B03">
              <w:rPr>
                <w:rFonts w:ascii="Tahoma" w:hAnsi="Tahoma" w:cs="Tahoma"/>
                <w:b/>
              </w:rPr>
              <w:t xml:space="preserve">                      </w:t>
            </w:r>
            <w:r w:rsidRPr="00E43B03">
              <w:rPr>
                <w:rFonts w:ascii="Tahoma" w:hAnsi="Tahoma" w:cs="Tahoma"/>
                <w:b/>
              </w:rPr>
              <w:t xml:space="preserve"> </w:t>
            </w:r>
            <w:r w:rsidR="007F07F4" w:rsidRPr="00E43B03">
              <w:rPr>
                <w:rFonts w:ascii="Tahoma" w:hAnsi="Tahoma" w:cs="Tahoma"/>
                <w:b/>
              </w:rPr>
              <w:t xml:space="preserve">  Vereador</w:t>
            </w:r>
          </w:p>
          <w:p w:rsidR="003E1347" w:rsidRPr="00E43B03" w:rsidRDefault="007F07F4" w:rsidP="007F07F4">
            <w:pPr>
              <w:spacing w:line="360" w:lineRule="auto"/>
              <w:rPr>
                <w:rFonts w:ascii="Tahoma" w:hAnsi="Tahoma" w:cs="Tahoma"/>
                <w:b/>
              </w:rPr>
            </w:pPr>
            <w:r w:rsidRPr="00E43B03">
              <w:rPr>
                <w:rFonts w:ascii="Tahoma" w:hAnsi="Tahoma" w:cs="Tahoma"/>
                <w:b/>
              </w:rPr>
              <w:t xml:space="preserve">                      Membro</w:t>
            </w:r>
            <w:r w:rsidR="003E1347" w:rsidRPr="00E43B03">
              <w:rPr>
                <w:rFonts w:ascii="Tahoma" w:eastAsia="Tahoma" w:hAnsi="Tahoma" w:cs="Tahoma"/>
                <w:b/>
              </w:rPr>
              <w:t xml:space="preserve"> CADA</w:t>
            </w:r>
          </w:p>
        </w:tc>
      </w:tr>
    </w:tbl>
    <w:p w:rsidR="00C96848" w:rsidRPr="00271C7B" w:rsidRDefault="00C96848" w:rsidP="00E43B03">
      <w:pPr>
        <w:rPr>
          <w:rFonts w:ascii="Tahoma" w:eastAsia="Tahoma" w:hAnsi="Tahoma" w:cs="Tahoma"/>
        </w:rPr>
      </w:pPr>
    </w:p>
    <w:sectPr w:rsidR="00C96848" w:rsidRPr="00271C7B" w:rsidSect="008A56D9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682" w:rsidRDefault="00452682">
      <w:r>
        <w:separator/>
      </w:r>
    </w:p>
  </w:endnote>
  <w:endnote w:type="continuationSeparator" w:id="1">
    <w:p w:rsidR="00452682" w:rsidRDefault="00452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6FD" w:rsidRPr="0066701B" w:rsidRDefault="007B36FD" w:rsidP="00CD7C98">
    <w:pPr>
      <w:pStyle w:val="Rodap"/>
      <w:jc w:val="center"/>
      <w:rPr>
        <w:rFonts w:ascii="Tahoma" w:hAnsi="Tahoma" w:cs="Tahoma"/>
        <w:b/>
        <w:bCs/>
        <w:i/>
        <w:sz w:val="16"/>
      </w:rPr>
    </w:pPr>
    <w:r>
      <w:tab/>
    </w:r>
    <w:r w:rsidRPr="0066701B">
      <w:rPr>
        <w:rFonts w:ascii="Tahoma" w:hAnsi="Tahoma" w:cs="Tahoma"/>
        <w:b/>
        <w:bCs/>
        <w:i/>
        <w:sz w:val="16"/>
      </w:rPr>
      <w:t>Av. Amaral Peixoto, 625 / Gabinete: 30 – Centro – Niterói – RJ – CEP.: 24.023-900           RG</w:t>
    </w:r>
  </w:p>
  <w:p w:rsidR="007B36FD" w:rsidRPr="0066701B" w:rsidRDefault="007B36FD" w:rsidP="00CD7C98">
    <w:pPr>
      <w:pStyle w:val="Rodap"/>
      <w:jc w:val="center"/>
      <w:rPr>
        <w:rFonts w:ascii="Tahoma" w:hAnsi="Tahoma" w:cs="Tahoma"/>
        <w:b/>
        <w:bCs/>
        <w:i/>
        <w:iCs/>
        <w:sz w:val="16"/>
      </w:rPr>
    </w:pPr>
    <w:r w:rsidRPr="0066701B">
      <w:rPr>
        <w:rFonts w:ascii="Tahoma" w:hAnsi="Tahoma" w:cs="Tahoma"/>
        <w:b/>
        <w:bCs/>
        <w:i/>
        <w:sz w:val="16"/>
      </w:rPr>
      <w:t>Telefone</w:t>
    </w:r>
    <w:r w:rsidRPr="0066701B">
      <w:rPr>
        <w:rFonts w:ascii="Tahoma" w:hAnsi="Tahoma" w:cs="Tahoma"/>
        <w:b/>
        <w:bCs/>
        <w:i/>
        <w:iCs/>
        <w:sz w:val="16"/>
      </w:rPr>
      <w:t xml:space="preserve"> – 2620.1321 tel 21 99315-2332</w:t>
    </w:r>
    <w:r>
      <w:rPr>
        <w:rFonts w:ascii="Tahoma" w:hAnsi="Tahoma" w:cs="Tahoma"/>
        <w:b/>
        <w:bCs/>
        <w:i/>
        <w:iCs/>
        <w:sz w:val="16"/>
      </w:rPr>
      <w:t xml:space="preserve"> (WhatsApp)</w:t>
    </w:r>
  </w:p>
  <w:p w:rsidR="007B36FD" w:rsidRPr="0066701B" w:rsidRDefault="007B36FD" w:rsidP="00CD7C98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66701B">
      <w:rPr>
        <w:rFonts w:ascii="Tahoma" w:hAnsi="Tahoma" w:cs="Tahoma"/>
        <w:b/>
        <w:bCs/>
        <w:i/>
        <w:sz w:val="16"/>
      </w:rPr>
      <w:t>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682" w:rsidRDefault="00452682">
      <w:r>
        <w:separator/>
      </w:r>
    </w:p>
  </w:footnote>
  <w:footnote w:type="continuationSeparator" w:id="1">
    <w:p w:rsidR="00452682" w:rsidRDefault="004526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6FD" w:rsidRDefault="007B36FD">
    <w:pPr>
      <w:pBdr>
        <w:top w:val="nil"/>
        <w:left w:val="nil"/>
        <w:bottom w:val="nil"/>
        <w:right w:val="nil"/>
        <w:between w:val="nil"/>
      </w:pBdr>
      <w:tabs>
        <w:tab w:val="left" w:pos="2930"/>
        <w:tab w:val="center" w:pos="4702"/>
      </w:tabs>
      <w:jc w:val="center"/>
      <w:rPr>
        <w:sz w:val="28"/>
        <w:szCs w:val="28"/>
      </w:rPr>
    </w:pPr>
  </w:p>
  <w:tbl>
    <w:tblPr>
      <w:tblStyle w:val="a0"/>
      <w:tblW w:w="9648" w:type="dxa"/>
      <w:tblInd w:w="-115" w:type="dxa"/>
      <w:tblLayout w:type="fixed"/>
      <w:tblLook w:val="0000"/>
    </w:tblPr>
    <w:tblGrid>
      <w:gridCol w:w="1726"/>
      <w:gridCol w:w="7922"/>
    </w:tblGrid>
    <w:tr w:rsidR="007B36FD">
      <w:trPr>
        <w:trHeight w:val="1971"/>
      </w:trPr>
      <w:tc>
        <w:tcPr>
          <w:tcW w:w="1726" w:type="dxa"/>
          <w:shd w:val="clear" w:color="auto" w:fill="auto"/>
        </w:tcPr>
        <w:p w:rsidR="007B36FD" w:rsidRDefault="007B36F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sz w:val="22"/>
              <w:szCs w:val="2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:rsidR="007B36FD" w:rsidRDefault="007B36F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sz w:val="22"/>
              <w:szCs w:val="22"/>
            </w:rPr>
          </w:pPr>
        </w:p>
        <w:p w:rsidR="007B36FD" w:rsidRDefault="007B36F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sz w:val="22"/>
              <w:szCs w:val="22"/>
            </w:rPr>
          </w:pPr>
        </w:p>
        <w:p w:rsidR="007B36FD" w:rsidRDefault="007B36F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sz w:val="48"/>
              <w:szCs w:val="48"/>
            </w:rPr>
          </w:pPr>
          <w:r>
            <w:rPr>
              <w:rFonts w:ascii="Tahoma" w:eastAsia="Tahoma" w:hAnsi="Tahoma" w:cs="Tahoma"/>
              <w:b/>
              <w:sz w:val="48"/>
              <w:szCs w:val="48"/>
            </w:rPr>
            <w:t>Câmara Municipal de Niterói</w:t>
          </w:r>
        </w:p>
        <w:p w:rsidR="007B36FD" w:rsidRDefault="007B36F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sz w:val="4"/>
              <w:szCs w:val="4"/>
            </w:rPr>
          </w:pPr>
        </w:p>
        <w:p w:rsidR="007B36FD" w:rsidRPr="00CD7C98" w:rsidRDefault="007B36FD" w:rsidP="00CD7C98">
          <w:pPr>
            <w:pStyle w:val="Header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CD7C98">
            <w:rPr>
              <w:rFonts w:ascii="Tahoma" w:hAnsi="Tahoma" w:cs="Arial"/>
              <w:b/>
              <w:sz w:val="28"/>
              <w:szCs w:val="28"/>
            </w:rPr>
            <w:t>Comissão Permanente d</w:t>
          </w:r>
          <w:r>
            <w:rPr>
              <w:rFonts w:ascii="Tahoma" w:hAnsi="Tahoma" w:cs="Arial"/>
              <w:b/>
              <w:sz w:val="28"/>
              <w:szCs w:val="28"/>
            </w:rPr>
            <w:t>o</w:t>
          </w:r>
          <w:r w:rsidRPr="00CD7C98">
            <w:rPr>
              <w:rFonts w:ascii="Tahoma" w:hAnsi="Tahoma" w:cs="Arial"/>
              <w:b/>
              <w:sz w:val="28"/>
              <w:szCs w:val="28"/>
            </w:rPr>
            <w:t xml:space="preserve"> Ambiente e </w:t>
          </w:r>
        </w:p>
        <w:p w:rsidR="007B36FD" w:rsidRDefault="007B36FD" w:rsidP="00CD7C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sz w:val="28"/>
              <w:szCs w:val="28"/>
            </w:rPr>
          </w:pPr>
          <w:r w:rsidRPr="00CD7C98">
            <w:rPr>
              <w:rFonts w:ascii="Tahoma" w:hAnsi="Tahoma" w:cs="Arial"/>
              <w:b/>
              <w:sz w:val="28"/>
              <w:szCs w:val="28"/>
            </w:rPr>
            <w:t>Direitos dos Animais - CADA</w:t>
          </w:r>
          <w:r>
            <w:rPr>
              <w:rFonts w:ascii="Tahoma" w:eastAsia="Tahoma" w:hAnsi="Tahoma" w:cs="Tahoma"/>
              <w:b/>
              <w:sz w:val="28"/>
              <w:szCs w:val="28"/>
            </w:rPr>
            <w:t xml:space="preserve"> </w:t>
          </w:r>
        </w:p>
      </w:tc>
    </w:tr>
  </w:tbl>
  <w:p w:rsidR="007B36FD" w:rsidRDefault="007B36F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597"/>
    <w:multiLevelType w:val="multilevel"/>
    <w:tmpl w:val="719E2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3C4DC7"/>
    <w:multiLevelType w:val="multilevel"/>
    <w:tmpl w:val="062AE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3627CE"/>
    <w:multiLevelType w:val="multilevel"/>
    <w:tmpl w:val="A670A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353D5D"/>
    <w:multiLevelType w:val="multilevel"/>
    <w:tmpl w:val="930EE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B20017"/>
    <w:multiLevelType w:val="multilevel"/>
    <w:tmpl w:val="5A54B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D9121D"/>
    <w:multiLevelType w:val="multilevel"/>
    <w:tmpl w:val="4950E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286584"/>
    <w:multiLevelType w:val="multilevel"/>
    <w:tmpl w:val="89784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86133C"/>
    <w:multiLevelType w:val="multilevel"/>
    <w:tmpl w:val="0F4A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C47769"/>
    <w:multiLevelType w:val="multilevel"/>
    <w:tmpl w:val="9FC4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CC404D"/>
    <w:multiLevelType w:val="multilevel"/>
    <w:tmpl w:val="1F627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59350A"/>
    <w:multiLevelType w:val="multilevel"/>
    <w:tmpl w:val="E10E9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C61AF5"/>
    <w:multiLevelType w:val="multilevel"/>
    <w:tmpl w:val="A2089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E57B36"/>
    <w:multiLevelType w:val="multilevel"/>
    <w:tmpl w:val="513CF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615AFF"/>
    <w:multiLevelType w:val="multilevel"/>
    <w:tmpl w:val="4BCA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C8163C"/>
    <w:multiLevelType w:val="multilevel"/>
    <w:tmpl w:val="7A78B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770F1A"/>
    <w:multiLevelType w:val="multilevel"/>
    <w:tmpl w:val="07D4B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C1A6D27"/>
    <w:multiLevelType w:val="multilevel"/>
    <w:tmpl w:val="885A5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AF06E7"/>
    <w:multiLevelType w:val="multilevel"/>
    <w:tmpl w:val="1088B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3A84DAF"/>
    <w:multiLevelType w:val="multilevel"/>
    <w:tmpl w:val="0B4CB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B31703"/>
    <w:multiLevelType w:val="multilevel"/>
    <w:tmpl w:val="E8048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962584"/>
    <w:multiLevelType w:val="multilevel"/>
    <w:tmpl w:val="02167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69D3D83"/>
    <w:multiLevelType w:val="multilevel"/>
    <w:tmpl w:val="3BD00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9B0F3D"/>
    <w:multiLevelType w:val="multilevel"/>
    <w:tmpl w:val="7C08D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142EA4"/>
    <w:multiLevelType w:val="multilevel"/>
    <w:tmpl w:val="128A9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E293490"/>
    <w:multiLevelType w:val="multilevel"/>
    <w:tmpl w:val="83D4E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653837"/>
    <w:multiLevelType w:val="multilevel"/>
    <w:tmpl w:val="8C64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0CD093E"/>
    <w:multiLevelType w:val="multilevel"/>
    <w:tmpl w:val="8E7ED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40E73AF"/>
    <w:multiLevelType w:val="multilevel"/>
    <w:tmpl w:val="B5C87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7367C1C"/>
    <w:multiLevelType w:val="multilevel"/>
    <w:tmpl w:val="180A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8B85942"/>
    <w:multiLevelType w:val="multilevel"/>
    <w:tmpl w:val="248C5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C83498"/>
    <w:multiLevelType w:val="multilevel"/>
    <w:tmpl w:val="C796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9490DD3"/>
    <w:multiLevelType w:val="hybridMultilevel"/>
    <w:tmpl w:val="33021A0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AD7064"/>
    <w:multiLevelType w:val="multilevel"/>
    <w:tmpl w:val="18B2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1A9601A"/>
    <w:multiLevelType w:val="multilevel"/>
    <w:tmpl w:val="2A602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40D0F06"/>
    <w:multiLevelType w:val="multilevel"/>
    <w:tmpl w:val="FBD00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FDF032A"/>
    <w:multiLevelType w:val="hybridMultilevel"/>
    <w:tmpl w:val="B9C411E4"/>
    <w:lvl w:ilvl="0" w:tplc="30A202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008257A"/>
    <w:multiLevelType w:val="multilevel"/>
    <w:tmpl w:val="C9847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16A40A6"/>
    <w:multiLevelType w:val="multilevel"/>
    <w:tmpl w:val="C35C4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3A551C0"/>
    <w:multiLevelType w:val="multilevel"/>
    <w:tmpl w:val="DC60D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65E3F09"/>
    <w:multiLevelType w:val="multilevel"/>
    <w:tmpl w:val="EFE26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E5858E9"/>
    <w:multiLevelType w:val="hybridMultilevel"/>
    <w:tmpl w:val="27C4E51E"/>
    <w:lvl w:ilvl="0" w:tplc="A3C8E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5"/>
  </w:num>
  <w:num w:numId="2">
    <w:abstractNumId w:val="40"/>
  </w:num>
  <w:num w:numId="3">
    <w:abstractNumId w:val="23"/>
  </w:num>
  <w:num w:numId="4">
    <w:abstractNumId w:val="22"/>
  </w:num>
  <w:num w:numId="5">
    <w:abstractNumId w:val="31"/>
  </w:num>
  <w:num w:numId="6">
    <w:abstractNumId w:val="34"/>
  </w:num>
  <w:num w:numId="7">
    <w:abstractNumId w:val="2"/>
  </w:num>
  <w:num w:numId="8">
    <w:abstractNumId w:val="17"/>
  </w:num>
  <w:num w:numId="9">
    <w:abstractNumId w:val="8"/>
  </w:num>
  <w:num w:numId="10">
    <w:abstractNumId w:val="11"/>
  </w:num>
  <w:num w:numId="11">
    <w:abstractNumId w:val="37"/>
  </w:num>
  <w:num w:numId="12">
    <w:abstractNumId w:val="33"/>
  </w:num>
  <w:num w:numId="13">
    <w:abstractNumId w:val="36"/>
  </w:num>
  <w:num w:numId="14">
    <w:abstractNumId w:val="24"/>
  </w:num>
  <w:num w:numId="15">
    <w:abstractNumId w:val="1"/>
  </w:num>
  <w:num w:numId="16">
    <w:abstractNumId w:val="18"/>
  </w:num>
  <w:num w:numId="17">
    <w:abstractNumId w:val="15"/>
  </w:num>
  <w:num w:numId="18">
    <w:abstractNumId w:val="16"/>
  </w:num>
  <w:num w:numId="19">
    <w:abstractNumId w:val="20"/>
  </w:num>
  <w:num w:numId="20">
    <w:abstractNumId w:val="28"/>
  </w:num>
  <w:num w:numId="21">
    <w:abstractNumId w:val="27"/>
  </w:num>
  <w:num w:numId="22">
    <w:abstractNumId w:val="12"/>
  </w:num>
  <w:num w:numId="23">
    <w:abstractNumId w:val="26"/>
  </w:num>
  <w:num w:numId="24">
    <w:abstractNumId w:val="6"/>
  </w:num>
  <w:num w:numId="25">
    <w:abstractNumId w:val="10"/>
  </w:num>
  <w:num w:numId="26">
    <w:abstractNumId w:val="29"/>
  </w:num>
  <w:num w:numId="27">
    <w:abstractNumId w:val="7"/>
  </w:num>
  <w:num w:numId="28">
    <w:abstractNumId w:val="9"/>
  </w:num>
  <w:num w:numId="29">
    <w:abstractNumId w:val="21"/>
  </w:num>
  <w:num w:numId="30">
    <w:abstractNumId w:val="13"/>
  </w:num>
  <w:num w:numId="31">
    <w:abstractNumId w:val="25"/>
  </w:num>
  <w:num w:numId="32">
    <w:abstractNumId w:val="14"/>
  </w:num>
  <w:num w:numId="33">
    <w:abstractNumId w:val="5"/>
  </w:num>
  <w:num w:numId="34">
    <w:abstractNumId w:val="0"/>
  </w:num>
  <w:num w:numId="35">
    <w:abstractNumId w:val="38"/>
  </w:num>
  <w:num w:numId="36">
    <w:abstractNumId w:val="3"/>
  </w:num>
  <w:num w:numId="37">
    <w:abstractNumId w:val="32"/>
  </w:num>
  <w:num w:numId="38">
    <w:abstractNumId w:val="19"/>
  </w:num>
  <w:num w:numId="39">
    <w:abstractNumId w:val="4"/>
  </w:num>
  <w:num w:numId="40">
    <w:abstractNumId w:val="39"/>
  </w:num>
  <w:num w:numId="41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F48"/>
    <w:rsid w:val="00006E23"/>
    <w:rsid w:val="000657F6"/>
    <w:rsid w:val="000B0AB2"/>
    <w:rsid w:val="000F54A7"/>
    <w:rsid w:val="000F54C6"/>
    <w:rsid w:val="00153333"/>
    <w:rsid w:val="0018124E"/>
    <w:rsid w:val="00197612"/>
    <w:rsid w:val="001B322B"/>
    <w:rsid w:val="001E1FDC"/>
    <w:rsid w:val="001E44B8"/>
    <w:rsid w:val="00223289"/>
    <w:rsid w:val="0023297F"/>
    <w:rsid w:val="00271C7B"/>
    <w:rsid w:val="00274693"/>
    <w:rsid w:val="00286FEA"/>
    <w:rsid w:val="002A618B"/>
    <w:rsid w:val="002A7118"/>
    <w:rsid w:val="002F06F5"/>
    <w:rsid w:val="00312510"/>
    <w:rsid w:val="00361E06"/>
    <w:rsid w:val="0038744B"/>
    <w:rsid w:val="00387722"/>
    <w:rsid w:val="00397058"/>
    <w:rsid w:val="003A5996"/>
    <w:rsid w:val="003E1347"/>
    <w:rsid w:val="00407848"/>
    <w:rsid w:val="00452682"/>
    <w:rsid w:val="00496B08"/>
    <w:rsid w:val="004A2E02"/>
    <w:rsid w:val="004E532E"/>
    <w:rsid w:val="004F0699"/>
    <w:rsid w:val="0051066D"/>
    <w:rsid w:val="00523712"/>
    <w:rsid w:val="0057181E"/>
    <w:rsid w:val="00573869"/>
    <w:rsid w:val="005B60D2"/>
    <w:rsid w:val="005C1EBD"/>
    <w:rsid w:val="006057B2"/>
    <w:rsid w:val="00680952"/>
    <w:rsid w:val="00687B30"/>
    <w:rsid w:val="00696C06"/>
    <w:rsid w:val="006B6982"/>
    <w:rsid w:val="006D71D6"/>
    <w:rsid w:val="006F395E"/>
    <w:rsid w:val="0075637F"/>
    <w:rsid w:val="007A2221"/>
    <w:rsid w:val="007B36FD"/>
    <w:rsid w:val="007E2ADC"/>
    <w:rsid w:val="007E7DDA"/>
    <w:rsid w:val="007F07F4"/>
    <w:rsid w:val="00801C33"/>
    <w:rsid w:val="00815045"/>
    <w:rsid w:val="00866716"/>
    <w:rsid w:val="00880D86"/>
    <w:rsid w:val="00884C61"/>
    <w:rsid w:val="008A56D9"/>
    <w:rsid w:val="008C0FEF"/>
    <w:rsid w:val="00913557"/>
    <w:rsid w:val="00940179"/>
    <w:rsid w:val="0094391E"/>
    <w:rsid w:val="00951415"/>
    <w:rsid w:val="009D11ED"/>
    <w:rsid w:val="009D534F"/>
    <w:rsid w:val="00A1166C"/>
    <w:rsid w:val="00A51526"/>
    <w:rsid w:val="00AB103B"/>
    <w:rsid w:val="00AC07DE"/>
    <w:rsid w:val="00AE34B2"/>
    <w:rsid w:val="00B05CD4"/>
    <w:rsid w:val="00B13DFA"/>
    <w:rsid w:val="00B24CF3"/>
    <w:rsid w:val="00B534F0"/>
    <w:rsid w:val="00B82EBD"/>
    <w:rsid w:val="00BB084F"/>
    <w:rsid w:val="00C05F48"/>
    <w:rsid w:val="00C3749D"/>
    <w:rsid w:val="00C9495F"/>
    <w:rsid w:val="00C96848"/>
    <w:rsid w:val="00CA094B"/>
    <w:rsid w:val="00CD1D4C"/>
    <w:rsid w:val="00CD386C"/>
    <w:rsid w:val="00CD7C98"/>
    <w:rsid w:val="00D40B36"/>
    <w:rsid w:val="00D4376B"/>
    <w:rsid w:val="00D74C1F"/>
    <w:rsid w:val="00D95F86"/>
    <w:rsid w:val="00DA6E77"/>
    <w:rsid w:val="00DF4CE4"/>
    <w:rsid w:val="00E1210E"/>
    <w:rsid w:val="00E35CA9"/>
    <w:rsid w:val="00E36D5E"/>
    <w:rsid w:val="00E43B03"/>
    <w:rsid w:val="00E766A2"/>
    <w:rsid w:val="00E855B8"/>
    <w:rsid w:val="00EC1CC7"/>
    <w:rsid w:val="00EC36BF"/>
    <w:rsid w:val="00EC4E4C"/>
    <w:rsid w:val="00ED43A6"/>
    <w:rsid w:val="00F23CD6"/>
    <w:rsid w:val="00F667AE"/>
    <w:rsid w:val="00F952E0"/>
    <w:rsid w:val="00FA64EE"/>
    <w:rsid w:val="00FE2B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Ttulo2">
    <w:name w:val="heading 2"/>
    <w:basedOn w:val="Normal"/>
    <w:next w:val="Normal"/>
    <w:rsid w:val="008A56D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8A56D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A56D9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8A56D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8A56D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8A56D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table" w:customStyle="1" w:styleId="TableNormal0">
    <w:name w:val="Table Normal"/>
    <w:rsid w:val="008A56D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1B5FBE"/>
    <w:rPr>
      <w:rFonts w:cs="Courier New"/>
    </w:rPr>
  </w:style>
  <w:style w:type="paragraph" w:customStyle="1" w:styleId="Heading">
    <w:name w:val="Heading"/>
    <w:basedOn w:val="Normal"/>
    <w:next w:val="TextBody"/>
    <w:qFormat/>
    <w:rsid w:val="001B5FBE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1B5FB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1B5FBE"/>
    <w:pPr>
      <w:suppressLineNumbers/>
    </w:pPr>
  </w:style>
  <w:style w:type="paragraph" w:customStyle="1" w:styleId="Ttulo40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rsid w:val="008A56D9"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021202"/>
    <w:pPr>
      <w:suppressAutoHyphens w:val="0"/>
      <w:spacing w:line="360" w:lineRule="auto"/>
      <w:jc w:val="both"/>
    </w:pPr>
    <w:rPr>
      <w:color w:val="auto"/>
      <w:sz w:val="2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21202"/>
    <w:rPr>
      <w:sz w:val="28"/>
      <w:szCs w:val="24"/>
    </w:rPr>
  </w:style>
  <w:style w:type="table" w:customStyle="1" w:styleId="a">
    <w:basedOn w:val="TableNormal0"/>
    <w:rsid w:val="008A56D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8A56D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Tabelacomgrade">
    <w:name w:val="Table Grid"/>
    <w:basedOn w:val="Tabelanormal"/>
    <w:uiPriority w:val="39"/>
    <w:rsid w:val="00C96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">
    <w:name w:val="Header"/>
    <w:basedOn w:val="Normal"/>
    <w:rsid w:val="00CD7C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D7C98"/>
    <w:rPr>
      <w:lang w:eastAsia="ar-SA"/>
    </w:rPr>
  </w:style>
  <w:style w:type="character" w:customStyle="1" w:styleId="wpaicg-chat-message">
    <w:name w:val="wpaicg-chat-message"/>
    <w:basedOn w:val="Fontepargpadro"/>
    <w:rsid w:val="00801C33"/>
  </w:style>
  <w:style w:type="character" w:styleId="Hyperlink">
    <w:name w:val="Hyperlink"/>
    <w:basedOn w:val="Fontepargpadro"/>
    <w:uiPriority w:val="99"/>
    <w:semiHidden/>
    <w:unhideWhenUsed/>
    <w:rsid w:val="00884C61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84C61"/>
    <w:rPr>
      <w:color w:val="800080" w:themeColor="followedHyperlink"/>
      <w:u w:val="single"/>
    </w:rPr>
  </w:style>
  <w:style w:type="character" w:styleId="nfase">
    <w:name w:val="Emphasis"/>
    <w:basedOn w:val="Fontepargpadro"/>
    <w:uiPriority w:val="20"/>
    <w:qFormat/>
    <w:rsid w:val="00B534F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574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0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1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8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4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72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7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93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177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427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0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40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113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03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433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14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0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7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1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01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231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785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128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8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79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72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831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734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8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hfggMm/DH9EVNtMXfmC1UaRdBQ==">CgMxLjAyDmguNmR0dzgyaWU3dnhkMghoLmdqZGd4czgAciExSHYwZzMyOTFwbC1QUDdZOG9xZWhIWlFsTk9mTmhZcmE=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F362E28-3FC2-4761-8606-7580DA522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1486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renatinho</dc:creator>
  <cp:lastModifiedBy>Ricardo Gacia</cp:lastModifiedBy>
  <cp:revision>2</cp:revision>
  <cp:lastPrinted>2025-08-08T17:52:00Z</cp:lastPrinted>
  <dcterms:created xsi:type="dcterms:W3CDTF">2025-12-09T20:42:00Z</dcterms:created>
  <dcterms:modified xsi:type="dcterms:W3CDTF">2025-12-09T20:42:00Z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