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39B" w:rsidRPr="00806A36" w:rsidRDefault="003D24E3" w:rsidP="00CB739B">
      <w:pPr>
        <w:pStyle w:val="normal0"/>
        <w:spacing w:after="0"/>
        <w:ind w:firstLine="720"/>
        <w:jc w:val="center"/>
        <w:rPr>
          <w:rFonts w:ascii="Tahoma" w:eastAsia="Times New Roman" w:hAnsi="Tahoma" w:cs="Tahoma"/>
          <w:b/>
        </w:rPr>
      </w:pPr>
      <w:r w:rsidRPr="00806A36">
        <w:rPr>
          <w:rFonts w:ascii="Tahoma" w:eastAsia="Times New Roman" w:hAnsi="Tahoma" w:cs="Tahoma"/>
          <w:b/>
        </w:rPr>
        <w:t>EMENDA ADITIVA Nº________</w:t>
      </w:r>
    </w:p>
    <w:p w:rsidR="00D85190" w:rsidRPr="00806A36" w:rsidRDefault="00CB739B" w:rsidP="00CB739B">
      <w:pPr>
        <w:pStyle w:val="normal0"/>
        <w:spacing w:after="0"/>
        <w:ind w:firstLine="720"/>
        <w:jc w:val="center"/>
        <w:rPr>
          <w:rFonts w:ascii="Tahoma" w:eastAsia="Times New Roman" w:hAnsi="Tahoma" w:cs="Tahoma"/>
          <w:b/>
        </w:rPr>
      </w:pPr>
      <w:r w:rsidRPr="00806A36">
        <w:rPr>
          <w:rFonts w:ascii="Tahoma" w:eastAsia="Times New Roman" w:hAnsi="Tahoma" w:cs="Tahoma"/>
          <w:b/>
        </w:rPr>
        <w:t xml:space="preserve">ADITIVA </w:t>
      </w:r>
      <w:r w:rsidR="003D24E3" w:rsidRPr="00806A36">
        <w:rPr>
          <w:rFonts w:ascii="Tahoma" w:eastAsia="Times New Roman" w:hAnsi="Tahoma" w:cs="Tahoma"/>
          <w:b/>
        </w:rPr>
        <w:t xml:space="preserve">AO PROJETO DE LEI Nº </w:t>
      </w:r>
      <w:r w:rsidR="00843426">
        <w:rPr>
          <w:rFonts w:ascii="Tahoma" w:eastAsia="Times New Roman" w:hAnsi="Tahoma" w:cs="Tahoma"/>
          <w:b/>
        </w:rPr>
        <w:t>444</w:t>
      </w:r>
      <w:r w:rsidR="003D24E3" w:rsidRPr="00806A36">
        <w:rPr>
          <w:rFonts w:ascii="Tahoma" w:eastAsia="Times New Roman" w:hAnsi="Tahoma" w:cs="Tahoma"/>
          <w:b/>
        </w:rPr>
        <w:t>/202</w:t>
      </w:r>
      <w:r w:rsidRPr="00806A36">
        <w:rPr>
          <w:rFonts w:ascii="Tahoma" w:eastAsia="Times New Roman" w:hAnsi="Tahoma" w:cs="Tahoma"/>
          <w:b/>
        </w:rPr>
        <w:t>5</w:t>
      </w:r>
    </w:p>
    <w:p w:rsidR="00D85190" w:rsidRPr="00806A36" w:rsidRDefault="00D85190">
      <w:pPr>
        <w:pStyle w:val="normal0"/>
        <w:spacing w:after="120"/>
        <w:jc w:val="center"/>
        <w:rPr>
          <w:rFonts w:ascii="Tahoma" w:eastAsia="Times New Roman" w:hAnsi="Tahoma" w:cs="Tahoma"/>
          <w:b/>
        </w:rPr>
      </w:pPr>
    </w:p>
    <w:p w:rsidR="00D85190" w:rsidRPr="00806A36" w:rsidRDefault="00D85190">
      <w:pPr>
        <w:pStyle w:val="normal0"/>
        <w:spacing w:after="0"/>
        <w:jc w:val="center"/>
        <w:rPr>
          <w:rFonts w:ascii="Tahoma" w:eastAsia="Times New Roman" w:hAnsi="Tahoma" w:cs="Tahoma"/>
          <w:b/>
        </w:rPr>
      </w:pPr>
    </w:p>
    <w:p w:rsidR="00D85190" w:rsidRPr="00843426" w:rsidRDefault="00CB739B" w:rsidP="00CB739B">
      <w:pPr>
        <w:pStyle w:val="normal0"/>
        <w:spacing w:after="0"/>
        <w:ind w:left="4253"/>
        <w:jc w:val="both"/>
        <w:rPr>
          <w:rFonts w:ascii="Tahoma" w:eastAsia="Times New Roman" w:hAnsi="Tahoma" w:cs="Tahoma"/>
          <w:b/>
        </w:rPr>
      </w:pPr>
      <w:r w:rsidRPr="00843426">
        <w:rPr>
          <w:rFonts w:ascii="Tahoma" w:eastAsia="Times New Roman" w:hAnsi="Tahoma" w:cs="Tahoma"/>
          <w:b/>
        </w:rPr>
        <w:t>AC</w:t>
      </w:r>
      <w:r w:rsidR="00843426" w:rsidRPr="00843426">
        <w:rPr>
          <w:rFonts w:ascii="Tahoma" w:hAnsi="Tahoma" w:cs="Tahoma"/>
          <w:b/>
        </w:rPr>
        <w:t>RESCENTA DISPOSITIVO QUE VEDA O USO DE POÇOS ARTESIANOS E FONTES ALTERNATIVAS EM ÁREA ATENDIDA POR REDE PÚBLICA DE ABASTECIMENTO, NOS TERMOS DA LEGISLAÇÃO ESTADUAL E DA DECISÃO DO TJRJ (IRDR 2025</w:t>
      </w:r>
      <w:r w:rsidRPr="00843426">
        <w:rPr>
          <w:rFonts w:ascii="Tahoma" w:eastAsia="Times New Roman" w:hAnsi="Tahoma" w:cs="Tahoma"/>
          <w:b/>
        </w:rPr>
        <w:t>.</w:t>
      </w:r>
    </w:p>
    <w:p w:rsidR="00D85190" w:rsidRPr="00577EFC" w:rsidRDefault="00D85190">
      <w:pPr>
        <w:pStyle w:val="normal0"/>
        <w:spacing w:after="0"/>
        <w:ind w:left="4678"/>
        <w:jc w:val="both"/>
        <w:rPr>
          <w:rFonts w:ascii="Tahoma" w:eastAsia="Times New Roman" w:hAnsi="Tahoma" w:cs="Tahoma"/>
          <w:b/>
        </w:rPr>
      </w:pPr>
    </w:p>
    <w:p w:rsidR="00843426" w:rsidRPr="00843426" w:rsidRDefault="003D24E3" w:rsidP="00843426">
      <w:pPr>
        <w:pStyle w:val="normal0"/>
        <w:spacing w:after="120"/>
        <w:jc w:val="both"/>
        <w:rPr>
          <w:rFonts w:ascii="Tahoma" w:hAnsi="Tahoma" w:cs="Tahoma"/>
        </w:rPr>
      </w:pPr>
      <w:r w:rsidRPr="00577EFC">
        <w:rPr>
          <w:rFonts w:ascii="Tahoma" w:eastAsia="Times New Roman" w:hAnsi="Tahoma" w:cs="Tahoma"/>
          <w:b/>
          <w:sz w:val="20"/>
          <w:szCs w:val="20"/>
        </w:rPr>
        <w:t xml:space="preserve">Art. 1º </w:t>
      </w:r>
      <w:r w:rsidRPr="00577EFC">
        <w:rPr>
          <w:rFonts w:ascii="Tahoma" w:eastAsia="Times New Roman" w:hAnsi="Tahoma" w:cs="Tahoma"/>
          <w:sz w:val="20"/>
          <w:szCs w:val="20"/>
        </w:rPr>
        <w:t xml:space="preserve">- </w:t>
      </w:r>
      <w:r w:rsidR="00843426" w:rsidRPr="00843426">
        <w:rPr>
          <w:rFonts w:ascii="Tahoma" w:hAnsi="Tahoma" w:cs="Tahoma"/>
        </w:rPr>
        <w:t xml:space="preserve">Fica acrescido </w:t>
      </w:r>
      <w:r w:rsidR="00843426">
        <w:rPr>
          <w:rFonts w:ascii="Tahoma" w:hAnsi="Tahoma" w:cs="Tahoma"/>
        </w:rPr>
        <w:t xml:space="preserve">o item V ao </w:t>
      </w:r>
      <w:r w:rsidR="00843426" w:rsidRPr="00843426">
        <w:rPr>
          <w:rStyle w:val="Forte"/>
          <w:rFonts w:ascii="Tahoma" w:hAnsi="Tahoma" w:cs="Tahoma"/>
        </w:rPr>
        <w:t>§ 1º</w:t>
      </w:r>
      <w:r w:rsidR="00843426" w:rsidRPr="00843426">
        <w:rPr>
          <w:rFonts w:ascii="Tahoma" w:hAnsi="Tahoma" w:cs="Tahoma"/>
        </w:rPr>
        <w:t xml:space="preserve"> </w:t>
      </w:r>
      <w:r w:rsidR="00843426">
        <w:rPr>
          <w:rFonts w:ascii="Tahoma" w:hAnsi="Tahoma" w:cs="Tahoma"/>
        </w:rPr>
        <w:t>do Art. 4º d</w:t>
      </w:r>
      <w:r w:rsidR="00843426" w:rsidRPr="00843426">
        <w:rPr>
          <w:rFonts w:ascii="Tahoma" w:hAnsi="Tahoma" w:cs="Tahoma"/>
        </w:rPr>
        <w:t xml:space="preserve">o Projeto de Lei nº 444/2025 </w:t>
      </w:r>
      <w:r w:rsidR="00843426">
        <w:rPr>
          <w:rFonts w:ascii="Tahoma" w:hAnsi="Tahoma" w:cs="Tahoma"/>
        </w:rPr>
        <w:t>como segue</w:t>
      </w:r>
      <w:r w:rsidR="00843426" w:rsidRPr="00843426">
        <w:rPr>
          <w:rFonts w:ascii="Tahoma" w:hAnsi="Tahoma" w:cs="Tahoma"/>
        </w:rPr>
        <w:t xml:space="preserve"> :</w:t>
      </w:r>
    </w:p>
    <w:p w:rsidR="00843426" w:rsidRPr="00843426" w:rsidRDefault="00843426" w:rsidP="00843426">
      <w:pPr>
        <w:pStyle w:val="NormalWeb"/>
        <w:spacing w:line="276" w:lineRule="auto"/>
        <w:jc w:val="both"/>
        <w:rPr>
          <w:rFonts w:ascii="Tahoma" w:hAnsi="Tahoma" w:cs="Tahoma"/>
        </w:rPr>
      </w:pPr>
      <w:r w:rsidRPr="00843426">
        <w:rPr>
          <w:rStyle w:val="Forte"/>
          <w:rFonts w:ascii="Tahoma" w:hAnsi="Tahoma" w:cs="Tahoma"/>
        </w:rPr>
        <w:t>“</w:t>
      </w:r>
      <w:r>
        <w:rPr>
          <w:rStyle w:val="Forte"/>
          <w:rFonts w:ascii="Tahoma" w:hAnsi="Tahoma" w:cs="Tahoma"/>
        </w:rPr>
        <w:t xml:space="preserve"> V - </w:t>
      </w:r>
      <w:r w:rsidRPr="00843426">
        <w:rPr>
          <w:rFonts w:ascii="Tahoma" w:hAnsi="Tahoma" w:cs="Tahoma"/>
        </w:rPr>
        <w:t xml:space="preserve">Fica </w:t>
      </w:r>
      <w:r w:rsidRPr="00843426">
        <w:rPr>
          <w:rStyle w:val="Forte"/>
          <w:rFonts w:ascii="Tahoma" w:hAnsi="Tahoma" w:cs="Tahoma"/>
        </w:rPr>
        <w:t>vedada a autorização, o incentivo, a regularização, o reconhecimento ou qualquer forma de apoio técnico ou institucional por parte do Município</w:t>
      </w:r>
      <w:r w:rsidRPr="00843426">
        <w:rPr>
          <w:rFonts w:ascii="Tahoma" w:hAnsi="Tahoma" w:cs="Tahoma"/>
        </w:rPr>
        <w:t xml:space="preserve"> para o uso de poços artesianos, poços freáticos, cacimbas ou quaisquer outras fontes alternativas de captação de água </w:t>
      </w:r>
      <w:r w:rsidRPr="00843426">
        <w:rPr>
          <w:rStyle w:val="Forte"/>
          <w:rFonts w:ascii="Tahoma" w:hAnsi="Tahoma" w:cs="Tahoma"/>
        </w:rPr>
        <w:t>localizadas em áreas atendidas pela rede pública de abastecimento</w:t>
      </w:r>
      <w:r w:rsidRPr="00843426">
        <w:rPr>
          <w:rFonts w:ascii="Tahoma" w:hAnsi="Tahoma" w:cs="Tahoma"/>
        </w:rPr>
        <w:t>.</w:t>
      </w:r>
    </w:p>
    <w:p w:rsidR="00843426" w:rsidRPr="00843426" w:rsidRDefault="00843426" w:rsidP="00843426">
      <w:pPr>
        <w:pStyle w:val="NormalWeb"/>
        <w:spacing w:line="276" w:lineRule="auto"/>
        <w:rPr>
          <w:rFonts w:ascii="Tahoma" w:hAnsi="Tahoma" w:cs="Tahoma"/>
        </w:rPr>
      </w:pPr>
      <w:r w:rsidRPr="00843426">
        <w:rPr>
          <w:rStyle w:val="Forte"/>
          <w:rFonts w:ascii="Tahoma" w:hAnsi="Tahoma" w:cs="Tahoma"/>
        </w:rPr>
        <w:t>§ 1º</w:t>
      </w:r>
      <w:r w:rsidRPr="00843426">
        <w:rPr>
          <w:rFonts w:ascii="Tahoma" w:hAnsi="Tahoma" w:cs="Tahoma"/>
        </w:rPr>
        <w:t xml:space="preserve"> A vedação prevista no caput fundamenta-se:</w:t>
      </w:r>
      <w:r w:rsidRPr="00843426">
        <w:rPr>
          <w:rFonts w:ascii="Tahoma" w:hAnsi="Tahoma" w:cs="Tahoma"/>
        </w:rPr>
        <w:br/>
        <w:t xml:space="preserve">I – no </w:t>
      </w:r>
      <w:r w:rsidRPr="00843426">
        <w:rPr>
          <w:rStyle w:val="Forte"/>
          <w:rFonts w:ascii="Tahoma" w:hAnsi="Tahoma" w:cs="Tahoma"/>
        </w:rPr>
        <w:t>Decreto Estadual nº 40.156/2006</w:t>
      </w:r>
      <w:r w:rsidRPr="00843426">
        <w:rPr>
          <w:rFonts w:ascii="Tahoma" w:hAnsi="Tahoma" w:cs="Tahoma"/>
        </w:rPr>
        <w:t>;</w:t>
      </w:r>
      <w:r w:rsidRPr="00843426">
        <w:rPr>
          <w:rFonts w:ascii="Tahoma" w:hAnsi="Tahoma" w:cs="Tahoma"/>
        </w:rPr>
        <w:br/>
        <w:t xml:space="preserve">II – na </w:t>
      </w:r>
      <w:r w:rsidRPr="00843426">
        <w:rPr>
          <w:rStyle w:val="Forte"/>
          <w:rFonts w:ascii="Tahoma" w:hAnsi="Tahoma" w:cs="Tahoma"/>
        </w:rPr>
        <w:t>Portaria SERLA nº 555/2007</w:t>
      </w:r>
      <w:r w:rsidRPr="00843426">
        <w:rPr>
          <w:rFonts w:ascii="Tahoma" w:hAnsi="Tahoma" w:cs="Tahoma"/>
        </w:rPr>
        <w:t>;</w:t>
      </w:r>
      <w:r w:rsidRPr="00843426">
        <w:rPr>
          <w:rFonts w:ascii="Tahoma" w:hAnsi="Tahoma" w:cs="Tahoma"/>
        </w:rPr>
        <w:br/>
        <w:t xml:space="preserve">III – na </w:t>
      </w:r>
      <w:r w:rsidRPr="00843426">
        <w:rPr>
          <w:rStyle w:val="Forte"/>
          <w:rFonts w:ascii="Tahoma" w:hAnsi="Tahoma" w:cs="Tahoma"/>
        </w:rPr>
        <w:t>decisão vinculante do Tribunal de Justiça do Estado do Rio de Janeiro</w:t>
      </w:r>
      <w:r w:rsidRPr="00843426">
        <w:rPr>
          <w:rFonts w:ascii="Tahoma" w:hAnsi="Tahoma" w:cs="Tahoma"/>
        </w:rPr>
        <w:t xml:space="preserve">, proferida em Incidente de Resolução de Demandas Repetitivas (IRDR), julgada em </w:t>
      </w:r>
      <w:r w:rsidRPr="00843426">
        <w:rPr>
          <w:rStyle w:val="Forte"/>
          <w:rFonts w:ascii="Tahoma" w:hAnsi="Tahoma" w:cs="Tahoma"/>
        </w:rPr>
        <w:t>15 de novembro de 2025</w:t>
      </w:r>
      <w:r w:rsidRPr="00843426">
        <w:rPr>
          <w:rFonts w:ascii="Tahoma" w:hAnsi="Tahoma" w:cs="Tahoma"/>
        </w:rPr>
        <w:t>, de observância obrigatória em todo o território estadual.</w:t>
      </w:r>
    </w:p>
    <w:p w:rsidR="00843426" w:rsidRPr="00843426" w:rsidRDefault="00843426" w:rsidP="00843426">
      <w:pPr>
        <w:pStyle w:val="NormalWeb"/>
        <w:spacing w:line="276" w:lineRule="auto"/>
        <w:rPr>
          <w:rFonts w:ascii="Tahoma" w:hAnsi="Tahoma" w:cs="Tahoma"/>
        </w:rPr>
      </w:pPr>
      <w:r w:rsidRPr="00843426">
        <w:rPr>
          <w:rStyle w:val="Forte"/>
          <w:rFonts w:ascii="Tahoma" w:hAnsi="Tahoma" w:cs="Tahoma"/>
        </w:rPr>
        <w:t>§ 2º</w:t>
      </w:r>
      <w:r w:rsidRPr="00843426">
        <w:rPr>
          <w:rFonts w:ascii="Tahoma" w:hAnsi="Tahoma" w:cs="Tahoma"/>
        </w:rPr>
        <w:t xml:space="preserve"> É nulo de pleno direito qualquer ato administrativo municipal que contrarie a vedação estabelecida neste artigo.”</w:t>
      </w:r>
    </w:p>
    <w:p w:rsidR="00577EFC" w:rsidRPr="00577EFC" w:rsidRDefault="00577EFC">
      <w:pPr>
        <w:pStyle w:val="normal0"/>
        <w:spacing w:after="0" w:line="240" w:lineRule="auto"/>
        <w:rPr>
          <w:rFonts w:ascii="Tahoma" w:eastAsia="Times New Roman" w:hAnsi="Tahoma" w:cs="Tahoma"/>
          <w:b/>
        </w:rPr>
      </w:pPr>
    </w:p>
    <w:p w:rsidR="00D85190" w:rsidRPr="00577EFC" w:rsidRDefault="003D24E3">
      <w:pPr>
        <w:pStyle w:val="normal0"/>
        <w:spacing w:after="0" w:line="240" w:lineRule="auto"/>
        <w:rPr>
          <w:rFonts w:ascii="Tahoma" w:eastAsia="Times New Roman" w:hAnsi="Tahoma" w:cs="Tahoma"/>
          <w:b/>
        </w:rPr>
      </w:pPr>
      <w:r w:rsidRPr="00577EFC">
        <w:rPr>
          <w:rFonts w:ascii="Tahoma" w:eastAsia="Times New Roman" w:hAnsi="Tahoma" w:cs="Tahoma"/>
          <w:b/>
        </w:rPr>
        <w:t>JUSTIFICATIVA:</w:t>
      </w:r>
    </w:p>
    <w:p w:rsidR="00C07FC2" w:rsidRPr="00C07FC2" w:rsidRDefault="00C07FC2" w:rsidP="00C07FC2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C07FC2">
        <w:rPr>
          <w:rFonts w:ascii="Tahoma" w:hAnsi="Tahoma" w:cs="Tahoma"/>
        </w:rPr>
        <w:t xml:space="preserve">A presente emenda visa assegurar que o Município de Niterói observe integralmente a legislação estadual vigente sobre uso de recursos hídricos, bem como a recente decisão do Tribunal de Justiça do Estado do Rio de Janeiro, </w:t>
      </w:r>
      <w:r w:rsidRPr="00C07FC2">
        <w:rPr>
          <w:rFonts w:ascii="Tahoma" w:hAnsi="Tahoma" w:cs="Tahoma"/>
        </w:rPr>
        <w:lastRenderedPageBreak/>
        <w:t xml:space="preserve">proferida em sede de IRDR em 15/11/2025, que </w:t>
      </w:r>
      <w:r w:rsidRPr="00C07FC2">
        <w:rPr>
          <w:rStyle w:val="Forte"/>
          <w:rFonts w:ascii="Tahoma" w:hAnsi="Tahoma" w:cs="Tahoma"/>
        </w:rPr>
        <w:t>proíbe o uso de poços artesianos e outras fontes alternativas de captação em áreas atendidas pela rede pública de água</w:t>
      </w:r>
      <w:r w:rsidRPr="00C07FC2">
        <w:rPr>
          <w:rFonts w:ascii="Tahoma" w:hAnsi="Tahoma" w:cs="Tahoma"/>
        </w:rPr>
        <w:t>.</w:t>
      </w:r>
    </w:p>
    <w:p w:rsidR="00C07FC2" w:rsidRPr="00C07FC2" w:rsidRDefault="00C07FC2" w:rsidP="00C07FC2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C07FC2">
        <w:rPr>
          <w:rFonts w:ascii="Tahoma" w:hAnsi="Tahoma" w:cs="Tahoma"/>
        </w:rPr>
        <w:t>Tal entendimento é vinculante e de cumprimento obrigatório pela Administração Pública municipal, evitando risco de nulidade de atos administrativos, conflitos normativos e danos ambientais decorrentes de captações irregulares ou insustentáveis.</w:t>
      </w:r>
    </w:p>
    <w:p w:rsidR="00C07FC2" w:rsidRPr="00C07FC2" w:rsidRDefault="00C07FC2" w:rsidP="00C07FC2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C07FC2">
        <w:rPr>
          <w:rFonts w:ascii="Tahoma" w:hAnsi="Tahoma" w:cs="Tahoma"/>
        </w:rPr>
        <w:t>A medida também protege os aquíferos e mananciais do Município, especialmente em regiões de recarga vulnerável e de alta sensibilidade hidrogeológica, evitando sobreexploração e contaminação subterrânea. O dispositivo reforça a segurança jurídica do PL 444/2025 e alinha o marco municipal às normas estaduais (Decreto nº 40.156/2006 e Portaria SERLA nº 555/2007) e ao Sistema Estadual de Gerenciamento de Recursos Hídricos.</w:t>
      </w:r>
    </w:p>
    <w:p w:rsidR="00D85190" w:rsidRDefault="00C07FC2" w:rsidP="00C07FC2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C07FC2">
        <w:rPr>
          <w:rFonts w:ascii="Tahoma" w:hAnsi="Tahoma" w:cs="Tahoma"/>
        </w:rPr>
        <w:t>Diante do exposto, solicita-se o apoio dos nobres pares para aprovação da presente emenda, indispensável para garantir a proteção dos recursos hídricos, a conformidade legal do projeto e a observância da decisão vinculante do TJRJ.</w:t>
      </w:r>
    </w:p>
    <w:p w:rsidR="00C07FC2" w:rsidRPr="00577EFC" w:rsidRDefault="00C07FC2" w:rsidP="00C07FC2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</w:p>
    <w:p w:rsidR="001E3733" w:rsidRPr="00577EFC" w:rsidRDefault="001E3733" w:rsidP="001E3733">
      <w:pPr>
        <w:pStyle w:val="normal0"/>
        <w:spacing w:after="120"/>
        <w:jc w:val="right"/>
        <w:rPr>
          <w:rFonts w:ascii="Tahoma" w:eastAsia="Times New Roman" w:hAnsi="Tahoma" w:cs="Tahoma"/>
          <w:b/>
        </w:rPr>
      </w:pPr>
      <w:r w:rsidRPr="00577EFC">
        <w:rPr>
          <w:rFonts w:ascii="Tahoma" w:eastAsia="Times New Roman" w:hAnsi="Tahoma" w:cs="Tahoma"/>
          <w:b/>
        </w:rPr>
        <w:t xml:space="preserve">Sala das Sessões, </w:t>
      </w:r>
      <w:r w:rsidR="00C07FC2">
        <w:rPr>
          <w:rFonts w:ascii="Tahoma" w:eastAsia="Times New Roman" w:hAnsi="Tahoma" w:cs="Tahoma"/>
          <w:b/>
        </w:rPr>
        <w:t>10</w:t>
      </w:r>
      <w:r w:rsidRPr="00577EFC">
        <w:rPr>
          <w:rFonts w:ascii="Tahoma" w:eastAsia="Times New Roman" w:hAnsi="Tahoma" w:cs="Tahoma"/>
          <w:b/>
        </w:rPr>
        <w:t xml:space="preserve"> de </w:t>
      </w:r>
      <w:r w:rsidR="00C07FC2">
        <w:rPr>
          <w:rFonts w:ascii="Tahoma" w:eastAsia="Times New Roman" w:hAnsi="Tahoma" w:cs="Tahoma"/>
          <w:b/>
        </w:rPr>
        <w:t>deze</w:t>
      </w:r>
      <w:r w:rsidRPr="00577EFC">
        <w:rPr>
          <w:rFonts w:ascii="Tahoma" w:eastAsia="Times New Roman" w:hAnsi="Tahoma" w:cs="Tahoma"/>
          <w:b/>
        </w:rPr>
        <w:t>mbro de 2025.</w:t>
      </w:r>
    </w:p>
    <w:p w:rsidR="001E3733" w:rsidRPr="00577EFC" w:rsidRDefault="001E3733" w:rsidP="001E3733">
      <w:pPr>
        <w:pStyle w:val="normal0"/>
        <w:spacing w:after="120"/>
        <w:rPr>
          <w:rFonts w:ascii="Tahoma" w:eastAsia="Times New Roman" w:hAnsi="Tahoma" w:cs="Tahoma"/>
          <w:b/>
        </w:rPr>
      </w:pPr>
    </w:p>
    <w:p w:rsidR="001E3733" w:rsidRPr="00577EFC" w:rsidRDefault="001E3733" w:rsidP="001E3733">
      <w:pPr>
        <w:pStyle w:val="normal0"/>
        <w:spacing w:after="120"/>
        <w:rPr>
          <w:rFonts w:ascii="Tahoma" w:eastAsia="Times New Roman" w:hAnsi="Tahoma" w:cs="Tahoma"/>
          <w:b/>
        </w:rPr>
      </w:pPr>
    </w:p>
    <w:p w:rsidR="001B2ADA" w:rsidRPr="00577EFC" w:rsidRDefault="001B2ADA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1B2ADA" w:rsidRPr="00577EFC" w:rsidRDefault="001B2ADA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1E3733" w:rsidRPr="00577EFC" w:rsidRDefault="001E3733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577EFC">
        <w:rPr>
          <w:rFonts w:ascii="Tahoma" w:eastAsia="Times New Roman" w:hAnsi="Tahoma" w:cs="Tahoma"/>
          <w:b/>
        </w:rPr>
        <w:t>DANIEL MARQUES</w:t>
      </w:r>
    </w:p>
    <w:p w:rsidR="00D85190" w:rsidRPr="00577EFC" w:rsidRDefault="001E3733" w:rsidP="00C07FC2">
      <w:pPr>
        <w:pStyle w:val="normal0"/>
        <w:spacing w:after="0" w:line="240" w:lineRule="auto"/>
        <w:jc w:val="center"/>
        <w:rPr>
          <w:rFonts w:ascii="Tahoma" w:eastAsia="Times New Roman" w:hAnsi="Tahoma" w:cs="Tahoma"/>
        </w:rPr>
      </w:pPr>
      <w:r w:rsidRPr="00577EFC">
        <w:rPr>
          <w:rFonts w:ascii="Tahoma" w:eastAsia="Times New Roman" w:hAnsi="Tahoma" w:cs="Tahoma"/>
          <w:b/>
        </w:rPr>
        <w:t>VEREADOR</w:t>
      </w:r>
    </w:p>
    <w:p w:rsidR="00D85190" w:rsidRPr="00577EFC" w:rsidRDefault="00D85190">
      <w:pPr>
        <w:pStyle w:val="normal0"/>
        <w:spacing w:after="0" w:line="240" w:lineRule="auto"/>
        <w:rPr>
          <w:rFonts w:ascii="Tahoma" w:eastAsia="Times New Roman" w:hAnsi="Tahoma" w:cs="Tahoma"/>
        </w:rPr>
      </w:pPr>
    </w:p>
    <w:sectPr w:rsidR="00D85190" w:rsidRPr="00577EFC" w:rsidSect="00D8519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E92" w:rsidRDefault="000A0E92" w:rsidP="00D85190">
      <w:pPr>
        <w:spacing w:after="0" w:line="240" w:lineRule="auto"/>
      </w:pPr>
      <w:r>
        <w:separator/>
      </w:r>
    </w:p>
  </w:endnote>
  <w:endnote w:type="continuationSeparator" w:id="1">
    <w:p w:rsidR="000A0E92" w:rsidRDefault="000A0E92" w:rsidP="00D85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EFC" w:rsidRPr="00C07910" w:rsidRDefault="00577EFC" w:rsidP="00577EFC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C07910">
      <w:rPr>
        <w:rFonts w:ascii="Tahoma" w:hAnsi="Tahoma" w:cs="Tahoma"/>
        <w:b/>
        <w:bCs/>
        <w:i/>
        <w:sz w:val="16"/>
      </w:rPr>
      <w:t>Av. Amaral Peixoto, 625 / Gabinete: 30 – Centro – Niterói – RJ – CEP.: 24.023-900           RG</w:t>
    </w:r>
  </w:p>
  <w:p w:rsidR="00577EFC" w:rsidRPr="00C07910" w:rsidRDefault="00577EFC" w:rsidP="00577EFC">
    <w:pPr>
      <w:pStyle w:val="Rodap"/>
      <w:jc w:val="center"/>
      <w:rPr>
        <w:rFonts w:ascii="Tahoma" w:hAnsi="Tahoma" w:cs="Tahoma"/>
        <w:b/>
        <w:bCs/>
        <w:i/>
        <w:iCs/>
        <w:sz w:val="16"/>
      </w:rPr>
    </w:pPr>
    <w:r w:rsidRPr="00C07910">
      <w:rPr>
        <w:rFonts w:ascii="Tahoma" w:hAnsi="Tahoma" w:cs="Tahoma"/>
        <w:b/>
        <w:bCs/>
        <w:i/>
        <w:sz w:val="16"/>
      </w:rPr>
      <w:t>Telefone</w:t>
    </w:r>
    <w:r w:rsidRPr="00C07910">
      <w:rPr>
        <w:rFonts w:ascii="Tahoma" w:hAnsi="Tahoma" w:cs="Tahoma"/>
        <w:b/>
        <w:bCs/>
        <w:i/>
        <w:iCs/>
        <w:sz w:val="16"/>
      </w:rPr>
      <w:t xml:space="preserve"> – 2620.1321 tel </w:t>
    </w:r>
    <w:r>
      <w:rPr>
        <w:rFonts w:ascii="Tahoma" w:hAnsi="Tahoma" w:cs="Tahoma"/>
        <w:b/>
        <w:bCs/>
        <w:i/>
        <w:iCs/>
        <w:sz w:val="16"/>
      </w:rPr>
      <w:t xml:space="preserve">whatsapp - </w:t>
    </w:r>
    <w:r w:rsidRPr="00C07910">
      <w:rPr>
        <w:rFonts w:ascii="Tahoma" w:hAnsi="Tahoma" w:cs="Tahoma"/>
        <w:b/>
        <w:bCs/>
        <w:i/>
        <w:iCs/>
        <w:sz w:val="16"/>
      </w:rPr>
      <w:t>21 99315-2332</w:t>
    </w:r>
  </w:p>
  <w:p w:rsidR="00577EFC" w:rsidRPr="00C07910" w:rsidRDefault="00577EFC" w:rsidP="00577EFC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C07910">
      <w:rPr>
        <w:rFonts w:ascii="Tahoma" w:hAnsi="Tahoma" w:cs="Tahoma"/>
        <w:b/>
        <w:bCs/>
        <w:i/>
        <w:sz w:val="16"/>
      </w:rPr>
      <w:t>vereadordanielmarques@gmail.com</w:t>
    </w:r>
  </w:p>
  <w:p w:rsidR="00E33CC6" w:rsidRPr="00577EFC" w:rsidRDefault="00E33CC6" w:rsidP="00577EF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E92" w:rsidRDefault="000A0E92" w:rsidP="00D85190">
      <w:pPr>
        <w:spacing w:after="0" w:line="240" w:lineRule="auto"/>
      </w:pPr>
      <w:r>
        <w:separator/>
      </w:r>
    </w:p>
  </w:footnote>
  <w:footnote w:type="continuationSeparator" w:id="1">
    <w:p w:rsidR="000A0E92" w:rsidRDefault="000A0E92" w:rsidP="00D85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190" w:rsidRDefault="00D85190">
    <w:pPr>
      <w:pStyle w:val="normal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7"/>
      <w:tblW w:w="9648" w:type="dxa"/>
      <w:tblInd w:w="0" w:type="dxa"/>
      <w:tblLayout w:type="fixed"/>
      <w:tblLook w:val="0000"/>
    </w:tblPr>
    <w:tblGrid>
      <w:gridCol w:w="1726"/>
      <w:gridCol w:w="7922"/>
    </w:tblGrid>
    <w:tr w:rsidR="00D85190">
      <w:trPr>
        <w:cantSplit/>
        <w:trHeight w:val="1971"/>
        <w:tblHeader/>
      </w:trPr>
      <w:tc>
        <w:tcPr>
          <w:tcW w:w="1726" w:type="dxa"/>
          <w:shd w:val="clear" w:color="auto" w:fill="auto"/>
        </w:tcPr>
        <w:p w:rsidR="00D85190" w:rsidRDefault="003D24E3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:rsidR="00D85190" w:rsidRDefault="00D85190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A"/>
            </w:rPr>
          </w:pPr>
        </w:p>
        <w:p w:rsidR="00D85190" w:rsidRDefault="00D85190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A"/>
            </w:rPr>
          </w:pPr>
        </w:p>
        <w:p w:rsidR="00D85190" w:rsidRDefault="003D24E3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:rsidR="00D85190" w:rsidRDefault="00D85190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D85190" w:rsidRDefault="003D24E3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</w:tr>
  </w:tbl>
  <w:p w:rsidR="00D85190" w:rsidRDefault="00D85190">
    <w:pPr>
      <w:pStyle w:val="normal0"/>
      <w:tabs>
        <w:tab w:val="center" w:pos="4252"/>
        <w:tab w:val="right" w:pos="8504"/>
      </w:tabs>
      <w:spacing w:after="0"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5190"/>
    <w:rsid w:val="00065872"/>
    <w:rsid w:val="000A0E92"/>
    <w:rsid w:val="000B6BAE"/>
    <w:rsid w:val="001B0475"/>
    <w:rsid w:val="001B2ADA"/>
    <w:rsid w:val="001E3733"/>
    <w:rsid w:val="00345821"/>
    <w:rsid w:val="00365DAA"/>
    <w:rsid w:val="003D24E3"/>
    <w:rsid w:val="00577EFC"/>
    <w:rsid w:val="006772C4"/>
    <w:rsid w:val="006B1450"/>
    <w:rsid w:val="00774D1A"/>
    <w:rsid w:val="00806A36"/>
    <w:rsid w:val="00843426"/>
    <w:rsid w:val="00B6795B"/>
    <w:rsid w:val="00BD0FCE"/>
    <w:rsid w:val="00C07FC2"/>
    <w:rsid w:val="00C40117"/>
    <w:rsid w:val="00CB739B"/>
    <w:rsid w:val="00CC05F0"/>
    <w:rsid w:val="00D0002B"/>
    <w:rsid w:val="00D411B2"/>
    <w:rsid w:val="00D85190"/>
    <w:rsid w:val="00E067E1"/>
    <w:rsid w:val="00E33CC6"/>
    <w:rsid w:val="00E6308F"/>
    <w:rsid w:val="00ED0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1B2"/>
  </w:style>
  <w:style w:type="paragraph" w:styleId="Ttulo1">
    <w:name w:val="heading 1"/>
    <w:basedOn w:val="normal0"/>
    <w:next w:val="normal0"/>
    <w:rsid w:val="00D8519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D8519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D8519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D8519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D85190"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tulo6">
    <w:name w:val="heading 6"/>
    <w:basedOn w:val="normal0"/>
    <w:next w:val="normal0"/>
    <w:rsid w:val="00D8519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D85190"/>
  </w:style>
  <w:style w:type="table" w:customStyle="1" w:styleId="TableNormal">
    <w:name w:val="Table Normal"/>
    <w:rsid w:val="00D851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D85190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D85190"/>
  </w:style>
  <w:style w:type="table" w:customStyle="1" w:styleId="TableNormal0">
    <w:name w:val="Table Normal"/>
    <w:rsid w:val="00D851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D85190"/>
  </w:style>
  <w:style w:type="table" w:customStyle="1" w:styleId="TableNormal1">
    <w:name w:val="Table Normal"/>
    <w:rsid w:val="00D851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D8519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82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40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40117"/>
    <w:rPr>
      <w:b/>
      <w:bCs/>
    </w:rPr>
  </w:style>
  <w:style w:type="table" w:styleId="Tabelacomgrade">
    <w:name w:val="Table Grid"/>
    <w:basedOn w:val="Tabelanormal"/>
    <w:uiPriority w:val="59"/>
    <w:rsid w:val="00C401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E33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33CC6"/>
  </w:style>
  <w:style w:type="paragraph" w:styleId="Rodap">
    <w:name w:val="footer"/>
    <w:basedOn w:val="Normal"/>
    <w:link w:val="RodapChar"/>
    <w:unhideWhenUsed/>
    <w:rsid w:val="00E33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33C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6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gZoJXIZjLqAbpiDlsOpB8RC8Fg==">CgMxLjAyCGguZ2pkZ3hzOAByITF1U0Z4dGNUd3AzbVBFVVBCN2tzSVpXYzdWa1BhRXN4Mw==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Gacia</dc:creator>
  <cp:lastModifiedBy>Ricardo Gacia</cp:lastModifiedBy>
  <cp:revision>2</cp:revision>
  <cp:lastPrinted>2025-11-25T18:28:00Z</cp:lastPrinted>
  <dcterms:created xsi:type="dcterms:W3CDTF">2025-12-10T16:06:00Z</dcterms:created>
  <dcterms:modified xsi:type="dcterms:W3CDTF">2025-12-10T16:06:00Z</dcterms:modified>
</cp:coreProperties>
</file>