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409" w:rsidRPr="00FB3490" w:rsidRDefault="000E0409" w:rsidP="000E0409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 xml:space="preserve">Projeto de Lei Nº    </w:t>
      </w:r>
      <w:r w:rsidR="00DA2AFD" w:rsidRPr="00FB3490">
        <w:rPr>
          <w:rFonts w:ascii="Tahoma" w:hAnsi="Tahoma" w:cs="Tahoma"/>
          <w:b/>
          <w:sz w:val="24"/>
          <w:szCs w:val="26"/>
        </w:rPr>
        <w:t xml:space="preserve">   </w:t>
      </w:r>
      <w:r w:rsidR="005D3DBE">
        <w:rPr>
          <w:rFonts w:ascii="Tahoma" w:hAnsi="Tahoma" w:cs="Tahoma"/>
          <w:b/>
          <w:sz w:val="24"/>
          <w:szCs w:val="26"/>
        </w:rPr>
        <w:t xml:space="preserve">  /2025</w:t>
      </w:r>
    </w:p>
    <w:p w:rsidR="000E0409" w:rsidRPr="00FB3490" w:rsidRDefault="000E0409" w:rsidP="000E0409">
      <w:pPr>
        <w:jc w:val="center"/>
        <w:rPr>
          <w:rFonts w:ascii="Tahoma" w:hAnsi="Tahoma" w:cs="Tahoma"/>
          <w:sz w:val="24"/>
          <w:szCs w:val="26"/>
        </w:rPr>
      </w:pPr>
    </w:p>
    <w:p w:rsidR="00403D29" w:rsidRPr="005D3DBE" w:rsidRDefault="005D3DBE" w:rsidP="00E70422">
      <w:pPr>
        <w:ind w:left="4536"/>
        <w:jc w:val="both"/>
        <w:rPr>
          <w:rFonts w:ascii="Tahoma" w:hAnsi="Tahoma" w:cs="Tahoma"/>
          <w:b/>
          <w:sz w:val="24"/>
          <w:szCs w:val="24"/>
        </w:rPr>
      </w:pPr>
      <w:r w:rsidRPr="005D3DBE">
        <w:rPr>
          <w:rFonts w:ascii="Tahoma" w:hAnsi="Tahoma" w:cs="Tahoma"/>
          <w:b/>
          <w:sz w:val="24"/>
          <w:szCs w:val="24"/>
        </w:rPr>
        <w:t>Institui a Política de Apoio Integral a Crianças e Adolescentes Órfãos de Vítimas de Feminicídio no Município de Niterói, e dá outras providências.</w:t>
      </w:r>
      <w:r w:rsidR="00E70422" w:rsidRPr="005D3DBE">
        <w:rPr>
          <w:rFonts w:ascii="Tahoma" w:hAnsi="Tahoma" w:cs="Tahoma"/>
          <w:b/>
          <w:sz w:val="24"/>
          <w:szCs w:val="24"/>
        </w:rPr>
        <w:cr/>
      </w:r>
    </w:p>
    <w:p w:rsidR="005D3DBE" w:rsidRPr="005D3DBE" w:rsidRDefault="005D3DBE" w:rsidP="005D3DBE">
      <w:pPr>
        <w:pStyle w:val="NormalWeb"/>
        <w:spacing w:line="360" w:lineRule="auto"/>
        <w:ind w:firstLine="709"/>
        <w:jc w:val="both"/>
        <w:rPr>
          <w:rFonts w:ascii="Tahoma" w:hAnsi="Tahoma" w:cs="Tahoma"/>
        </w:rPr>
      </w:pPr>
      <w:r w:rsidRPr="005D3DBE">
        <w:rPr>
          <w:rFonts w:ascii="Tahoma" w:hAnsi="Tahoma" w:cs="Tahoma"/>
          <w:b/>
          <w:bCs/>
        </w:rPr>
        <w:t>Art. 1º</w:t>
      </w:r>
      <w:r w:rsidRPr="005D3DBE">
        <w:rPr>
          <w:rFonts w:ascii="Tahoma" w:hAnsi="Tahoma" w:cs="Tahoma"/>
        </w:rPr>
        <w:t xml:space="preserve"> Fica instituída a Política de Apoio Integral a Crianças e Adolescentes Órfãos de Vítimas de Feminicídio no Município de Niterói, com o objetivo de assegurar a proteção integral e a garantia de direitos de crianças e adolescentes que perderam suas mães em decorrência de feminicídio.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§ 1º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Para os fins desta Lei, considera-se criança ou adolescente órfão de vítima de feminicídio aquele que, comprovadamente, teve sua mãe assassinada em razão de sua condição de mulher</w:t>
      </w:r>
      <w:r w:rsidR="00EE2B8E">
        <w:rPr>
          <w:rFonts w:ascii="Tahoma" w:eastAsia="Times New Roman" w:hAnsi="Tahoma" w:cs="Tahoma"/>
          <w:sz w:val="24"/>
          <w:szCs w:val="24"/>
          <w:lang w:eastAsia="pt-BR"/>
        </w:rPr>
        <w:t xml:space="preserve">; </w:t>
      </w:r>
      <w:r w:rsidR="00EE2B8E" w:rsidRPr="00EE2B8E">
        <w:rPr>
          <w:rFonts w:ascii="Tahoma" w:hAnsi="Tahoma" w:cs="Tahoma"/>
          <w:sz w:val="24"/>
          <w:szCs w:val="24"/>
        </w:rPr>
        <w:t>encontram-se também abrangidas pela rede de proteção e acolhimento, as crianças e adolescentes vítimas da violência doméstica de forma direta e indireta no seu ambiente familiar</w:t>
      </w:r>
      <w:r w:rsidRPr="00EE2B8E">
        <w:rPr>
          <w:rFonts w:ascii="Tahoma" w:eastAsia="Times New Roman" w:hAnsi="Tahoma" w:cs="Tahoma"/>
          <w:sz w:val="24"/>
          <w:szCs w:val="24"/>
          <w:lang w:eastAsia="pt-BR"/>
        </w:rPr>
        <w:t>,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conforme a legislação penal brasileira</w:t>
      </w:r>
      <w:r w:rsidR="00EE2B8E">
        <w:rPr>
          <w:rFonts w:ascii="Tahoma" w:eastAsia="Times New Roman" w:hAnsi="Tahoma" w:cs="Tahoma"/>
          <w:sz w:val="24"/>
          <w:szCs w:val="24"/>
          <w:lang w:eastAsia="pt-BR"/>
        </w:rPr>
        <w:t>, e a Lei Federal nº 11.340, de 07 de agosto de 2006 – Lei Maria da Penha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§ 2º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A Política de que trata esta Lei será articulada com as diretrizes do </w:t>
      </w: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Pacto Niterói Contra a Violência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e com as demais políticas públicas municipais, buscando uma abordagem intersetorial e sistêmica.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2º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São princípios da Política de Apoio Integral a Crianças e Adolescentes Órfãos de Vítimas de Feminicídio: </w:t>
      </w:r>
    </w:p>
    <w:p w:rsidR="007C195A" w:rsidRDefault="005D3DBE" w:rsidP="00EE2B8E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>I – Proteção integral e prioritária dos direi</w:t>
      </w:r>
      <w:r w:rsidR="007C195A">
        <w:rPr>
          <w:rFonts w:ascii="Tahoma" w:eastAsia="Times New Roman" w:hAnsi="Tahoma" w:cs="Tahoma"/>
          <w:sz w:val="24"/>
          <w:szCs w:val="24"/>
          <w:lang w:eastAsia="pt-BR"/>
        </w:rPr>
        <w:t>tos de crianças e adolescentes;</w:t>
      </w:r>
    </w:p>
    <w:p w:rsidR="005D3DBE" w:rsidRPr="005D3DBE" w:rsidRDefault="007C195A" w:rsidP="00EE2B8E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     </w:t>
      </w:r>
      <w:r w:rsid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  </w:t>
      </w:r>
      <w:r w:rsidR="005D3DBE"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II – Atenção humanizada e especializada; </w:t>
      </w:r>
    </w:p>
    <w:p w:rsidR="009A554A" w:rsidRDefault="009A554A" w:rsidP="00EE2B8E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        </w:t>
      </w:r>
      <w:r w:rsidR="005D3DBE"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III – Respeito à dignidade da pessoa humana e aos vínculos familiares e comunitários; </w:t>
      </w:r>
    </w:p>
    <w:p w:rsidR="005D3DBE" w:rsidRPr="005D3DBE" w:rsidRDefault="009A554A" w:rsidP="00EE2B8E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        </w:t>
      </w:r>
      <w:r w:rsidR="005D3DBE"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IV – Articulação intersetorial das políticas públicas; </w:t>
      </w:r>
    </w:p>
    <w:p w:rsidR="005D3DBE" w:rsidRPr="005D3DBE" w:rsidRDefault="005D3DBE" w:rsidP="00EE2B8E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V – Combate à revitimização e à discriminação; </w:t>
      </w:r>
    </w:p>
    <w:p w:rsidR="005D3DBE" w:rsidRPr="005D3DBE" w:rsidRDefault="005D3DBE" w:rsidP="00EE2B8E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VI – Promoção da autonomia e do empoderamento das crianças e adolescentes e de seus responsáveis legais; </w:t>
      </w:r>
    </w:p>
    <w:p w:rsidR="005D3DBE" w:rsidRPr="005D3DBE" w:rsidRDefault="005D3DBE" w:rsidP="00EE2B8E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>VII – Transparência e controle social na gestão das ações.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3º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São diretrizes da Política de Apoio Integral a Crianças e Adolescentes Órfãos de Vítimas de Feminicídio:</w:t>
      </w:r>
    </w:p>
    <w:p w:rsidR="005D3DBE" w:rsidRPr="005D3DBE" w:rsidRDefault="005D3DBE" w:rsidP="009A554A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I – Identificação e cadastramento das crianças e adolescentes órfãos de vítimas de feminicídio; </w:t>
      </w:r>
    </w:p>
    <w:p w:rsidR="005D3DBE" w:rsidRPr="005D3DBE" w:rsidRDefault="005D3DBE" w:rsidP="009A554A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II – Acolhimento e acompanhamento psicossocial contínuo e especializado; </w:t>
      </w:r>
    </w:p>
    <w:p w:rsidR="005D3DBE" w:rsidRPr="005D3DBE" w:rsidRDefault="005D3DBE" w:rsidP="009A554A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III – Prioridade no acesso a serviços públicos e programas sociais; </w:t>
      </w:r>
    </w:p>
    <w:p w:rsidR="005D3DBE" w:rsidRPr="005D3DBE" w:rsidRDefault="005D3DBE" w:rsidP="009A554A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IV – Articulação com o sistema de justiça e órgãos de proteção dos direitos da criança e do adolescente; </w:t>
      </w:r>
    </w:p>
    <w:p w:rsidR="005D3DBE" w:rsidRPr="005D3DBE" w:rsidRDefault="005D3DBE" w:rsidP="009A554A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V – Capacitação de profissionais que atuarão no atendimento a essas crianças e adolescentes; </w:t>
      </w:r>
    </w:p>
    <w:p w:rsidR="005D3DBE" w:rsidRPr="005D3DBE" w:rsidRDefault="005D3DBE" w:rsidP="009A554A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>VI – Sensibilização da sociedade sobre a temática do feminicídio e seus impactos nas famílias.</w:t>
      </w:r>
    </w:p>
    <w:p w:rsidR="005D3DBE" w:rsidRPr="005D3DBE" w:rsidRDefault="005D3DBE" w:rsidP="005D3DBE">
      <w:pPr>
        <w:pStyle w:val="NormalWeb"/>
        <w:spacing w:line="360" w:lineRule="auto"/>
        <w:ind w:firstLine="709"/>
        <w:jc w:val="both"/>
        <w:rPr>
          <w:rFonts w:ascii="Tahoma" w:hAnsi="Tahoma" w:cs="Tahoma"/>
        </w:rPr>
      </w:pPr>
      <w:r w:rsidRPr="005D3DBE">
        <w:rPr>
          <w:rFonts w:ascii="Tahoma" w:hAnsi="Tahoma" w:cs="Tahoma"/>
          <w:b/>
          <w:bCs/>
        </w:rPr>
        <w:t>Art. 4º</w:t>
      </w:r>
      <w:r w:rsidRPr="005D3DBE">
        <w:rPr>
          <w:rFonts w:ascii="Tahoma" w:hAnsi="Tahoma" w:cs="Tahoma"/>
        </w:rPr>
        <w:t xml:space="preserve"> A execução da Política de Apoio Integral será realizada por meio de ações coordenadas entre as diversas Secretarias e órgãos da Prefeitura Municipal de Niterói, observando as seguintes atribuições e correlações com as políticas públicas existentes: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 – </w:t>
      </w: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Secretaria Municipal de Assistência Social e Economia Solidária: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a) Realização do cadastramento das crianças e adolescentes órfãos e de seus responsáveis legais;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 xml:space="preserve">b) Priorização no acesso a programas de transferência de renda e benefícios socioassistenciais, como a </w:t>
      </w: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Moeda Araribóia</w:t>
      </w:r>
      <w:r w:rsidR="00774FB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e o Bolsa Família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, entre outros;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c) Oferecimento de acolhimento familiar ou institucional, em caráter excepcional e prioritário, quando esgotadas as possibilidades de permanência na família extensa;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>d) Articulação com a política de Economia Solidária para a promoção da geração de renda e autonomia financeira dos responsáveis pelos órfãos, por meio de cursos, oficinas e fomento a cooperativas e empreendimentos solidários.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II – </w:t>
      </w: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Fundação Estatal de Saúde de Niterói (FESAUDE) e Secretaria Municipal de Saúde: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a) Garantia de acesso prioritário a consultas médicas, exames e tratamentos necessários, com foco nas necessidades específicas decorrentes do trauma;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b) Acompanhamento psicológico e psiquiátrico continuado, com atendimento especializado em luto e trauma, para as crianças, adolescentes e seus responsáveis, por meio da Rede de Atenção Psicossocial (RAPS) do município gerenciada pela FESAUDE;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>c) Realização de rodas de conversa e grupos de apoio para os órfãos e seus cuidadores, visando à promoção da saúde mental e ao desenvolvimento de resiliência.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 xml:space="preserve">III – </w:t>
      </w: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Secretaria Municipal de Educação: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a) Garantia de matrícula e prioridade no acesso a vagas em creches e escolas da rede municipal de ensino;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b) Acompanhamento pedagógico individualizado e especializado, com atenção às necessidades educacionais especiais decorrentes do trauma;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c) Desenvolvimento de programas de reforço escolar e atividades </w:t>
      </w:r>
      <w:r w:rsidR="00774FB8">
        <w:rPr>
          <w:rFonts w:ascii="Tahoma" w:eastAsia="Times New Roman" w:hAnsi="Tahoma" w:cs="Tahoma"/>
          <w:sz w:val="24"/>
          <w:szCs w:val="24"/>
          <w:lang w:eastAsia="pt-BR"/>
        </w:rPr>
        <w:t>de contraturno, integrando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iniciativas que promovam a cultura, o esporte e a arte como ferramentas de desenvolvimento integral; </w:t>
      </w:r>
    </w:p>
    <w:p w:rsid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>d) Capacitação de professores e equipes escolares para lidar com o tema do feminicídio e suas consequências no ambiente escolar.</w:t>
      </w:r>
    </w:p>
    <w:p w:rsidR="00474454" w:rsidRPr="005D3DBE" w:rsidRDefault="00474454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74454">
        <w:rPr>
          <w:rFonts w:ascii="Tahoma" w:hAnsi="Tahoma" w:cs="Tahoma"/>
          <w:sz w:val="24"/>
          <w:szCs w:val="24"/>
        </w:rPr>
        <w:t xml:space="preserve">e) </w:t>
      </w:r>
      <w:r w:rsidRPr="00474454">
        <w:rPr>
          <w:rStyle w:val="Forte"/>
          <w:rFonts w:ascii="Tahoma" w:hAnsi="Tahoma" w:cs="Tahoma"/>
          <w:sz w:val="24"/>
          <w:szCs w:val="24"/>
        </w:rPr>
        <w:t>Articulação com o Programa Pé de Meia do Ministério da Educação</w:t>
      </w:r>
      <w:r w:rsidRPr="00474454">
        <w:rPr>
          <w:rFonts w:ascii="Tahoma" w:hAnsi="Tahoma" w:cs="Tahoma"/>
          <w:sz w:val="24"/>
          <w:szCs w:val="24"/>
        </w:rPr>
        <w:t>, buscando garantir o acesso e a permanência no ensino médio para os adolescentes órfãos, bem como o incentivo financeiro previsto no programa.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IV – </w:t>
      </w: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Secretaria Municipal de Direitos Humanos de Niterói: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a) Atuação na mediação e articulação com órgãos de defesa dos direitos humanos;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b) Monitoramento e incidência na garantia dos direitos das crianças e adolescentes órfãos;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 xml:space="preserve">c) Promoção de campanhas de conscientização sobre o feminicídio e suas consequências, em alinhamento com as ações do </w:t>
      </w: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Pacto Niterói Contra a Violência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, que visa a prevenir todas as formas de violência;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d) Articulação com a política de defesa dos direitos da criança e do adolescente, incluindo a atuação do Conselho Tutelar e outras </w:t>
      </w: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instituições e entidades de defesa de direitos da criança e do adolescente cadastradas no Conselho Municipal de Direitos da Criança e do Adolescente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V – </w:t>
      </w: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Secretaria Municipal da Mulher: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a) Articulação de ações de prevenção e combate à violência contra a mulher, visando à redução dos casos de feminicídio;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b) Desenvolvimento de programas de acolhimento e apoio psicossocial para as famílias das vítimas de feminicídio, em especial para as crianças e adolescentes órfãos;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>c) Fomento à rede de proteção e atendimento às mulheres em situação de violência, buscando prevenir novas ocorrências e oferecer suporte integral.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VI – </w:t>
      </w: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Coordenadoria de Emprego e Renda: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a) Prioridade no encaminhamento para programas de qualificação profissional e cursos de capacitação produtiva; 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>b) Apoio na inserção no mercado de trabalho para os adolescentes órfãos aptos e para os responsáveis legais, por meio de programas de estágio, jovem aprendiz e encaminhamento para vagas de emprego.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5º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Fica criado o Comitê Intersetorial de Apoio a Crianças e Adolescentes Órfãos de Vítimas de Feminicídio, de caráter consultivo e deliberativo, com a participação de representantes das secretarias e órgãos mencionados no Art. 4º, bem como de representantes da sociedade civil e de </w:t>
      </w: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instituições e entidades de defesa de direitos da criança e do adolescente cadastradas no Conselho Municipal de Direitos da Criança e do Adolescente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§ 1º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O Comitê terá como atribuições: </w:t>
      </w:r>
    </w:p>
    <w:p w:rsidR="005D3DBE" w:rsidRPr="005D3DBE" w:rsidRDefault="005D3DBE" w:rsidP="009A554A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 – Elaborar e monitorar o plano de ação da Política de Apoio Integral; </w:t>
      </w:r>
    </w:p>
    <w:p w:rsidR="005D3DBE" w:rsidRPr="005D3DBE" w:rsidRDefault="005D3DBE" w:rsidP="009A554A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II – Propor a criação de novos programas e serviços; </w:t>
      </w:r>
    </w:p>
    <w:p w:rsidR="005D3DBE" w:rsidRPr="005D3DBE" w:rsidRDefault="005D3DBE" w:rsidP="009A554A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III – Articular a rede de atendimento; </w:t>
      </w:r>
    </w:p>
    <w:p w:rsidR="005D3DBE" w:rsidRPr="005D3DBE" w:rsidRDefault="005D3DBE" w:rsidP="009A554A">
      <w:pPr>
        <w:spacing w:after="0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sz w:val="24"/>
          <w:szCs w:val="24"/>
          <w:lang w:eastAsia="pt-BR"/>
        </w:rPr>
        <w:t>IV – Avaliar e acompanhar os resultados da Política.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§ 2º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A composição e o funcionamento do Comitê serão definidos por Decreto do Poder Executivo.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6º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As despesas decorrentes da execução desta Lei correrão por conta das dotações orçamentárias próprias de cada Secretaria e órgão envolvido, podendo ser suplementadas se necessário.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7º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O Poder Executivo regulamentará esta Lei no que couber no prazo de 90 (noventa) dias a contar de sua publicação.</w:t>
      </w:r>
    </w:p>
    <w:p w:rsidR="005D3DBE" w:rsidRPr="005D3DBE" w:rsidRDefault="005D3DBE" w:rsidP="005D3DBE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D3DB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8º</w:t>
      </w:r>
      <w:r w:rsidRPr="005D3DBE">
        <w:rPr>
          <w:rFonts w:ascii="Tahoma" w:eastAsia="Times New Roman" w:hAnsi="Tahoma" w:cs="Tahoma"/>
          <w:sz w:val="24"/>
          <w:szCs w:val="24"/>
          <w:lang w:eastAsia="pt-BR"/>
        </w:rPr>
        <w:t xml:space="preserve"> Esta Lei entra em vigor na data de sua publicação.</w:t>
      </w:r>
    </w:p>
    <w:p w:rsidR="00D513FA" w:rsidRPr="00FB3490" w:rsidRDefault="00D513FA" w:rsidP="005D3DBE">
      <w:pPr>
        <w:jc w:val="both"/>
        <w:rPr>
          <w:rFonts w:ascii="Tahoma" w:hAnsi="Tahoma" w:cs="Tahoma"/>
          <w:b/>
          <w:sz w:val="24"/>
          <w:szCs w:val="26"/>
        </w:rPr>
      </w:pPr>
    </w:p>
    <w:p w:rsidR="000E0409" w:rsidRDefault="000E0409" w:rsidP="00564E2C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JUSTIFICATIVA</w:t>
      </w:r>
    </w:p>
    <w:p w:rsidR="007C195A" w:rsidRPr="007C195A" w:rsidRDefault="007C195A" w:rsidP="007C195A">
      <w:pPr>
        <w:spacing w:line="360" w:lineRule="auto"/>
        <w:ind w:firstLine="709"/>
        <w:jc w:val="both"/>
        <w:rPr>
          <w:rStyle w:val="Forte"/>
          <w:rFonts w:ascii="Tahoma" w:hAnsi="Tahoma" w:cs="Tahoma"/>
          <w:sz w:val="24"/>
          <w:szCs w:val="24"/>
        </w:rPr>
      </w:pPr>
      <w:r w:rsidRPr="007C195A">
        <w:rPr>
          <w:rFonts w:ascii="Tahoma" w:hAnsi="Tahoma" w:cs="Tahoma"/>
          <w:sz w:val="24"/>
          <w:szCs w:val="24"/>
        </w:rPr>
        <w:t xml:space="preserve">O presente Projeto de Lei emerge da urgência e da gravidade de um fenômeno social que assola o Brasil e, de forma particular, o estado do Rio de Janeiro: o feminicídio. A proposição desta lei não é apenas um ato de reconhecimento da dor e do desamparo dessas vítimas invisíveis, mas uma resposta concreta e estruturada para mitigar os impactos devastadores dessa violência. </w:t>
      </w:r>
      <w:r w:rsidRPr="007C195A">
        <w:rPr>
          <w:rStyle w:val="Forte"/>
          <w:rFonts w:ascii="Tahoma" w:hAnsi="Tahoma" w:cs="Tahoma"/>
          <w:sz w:val="24"/>
          <w:szCs w:val="24"/>
        </w:rPr>
        <w:t>É importante ressaltar que esta iniciativa busca inspiração e se baseia na bem-sucedida experiência já em vigor no Município do Rio de Janeiro, através da Lei Municipal Nº 7.763, de 11 de janeiro de 2023, adaptando-a a realidade e às necessidades de Niterói.</w:t>
      </w:r>
    </w:p>
    <w:p w:rsidR="007C195A" w:rsidRPr="007C195A" w:rsidRDefault="007C195A" w:rsidP="007C195A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A necessidade premente de uma política como a proposta por este Projeto de Lei é corroborada por dados alarmantes. O </w:t>
      </w:r>
      <w:r w:rsidRPr="007C195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Dossiê Mulher 2024</w:t>
      </w:r>
      <w:r w:rsidR="00474454">
        <w:rPr>
          <w:rStyle w:val="Refdenotaderodap"/>
          <w:rFonts w:ascii="Tahoma" w:eastAsia="Times New Roman" w:hAnsi="Tahoma" w:cs="Tahoma"/>
          <w:b/>
          <w:bCs/>
          <w:sz w:val="24"/>
          <w:szCs w:val="24"/>
          <w:lang w:eastAsia="pt-BR"/>
        </w:rPr>
        <w:footnoteReference w:id="1"/>
      </w: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, elaborado pelo Instituto de Segurança Pública (ISP), ISP Mulher e Secretaria de Segurança Pública do Estado do Rio de Janeiro, revelou um cenário de violência inaceitável. Segundo o Dossiê, somente no ano de 2023, o número de mulheres vítimas de feminicídio no estado do Rio de Janeiro atingiu a cifra chocante de </w:t>
      </w:r>
      <w:r w:rsidRPr="007C195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3.923 mulheres</w:t>
      </w: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. A predominância desses casos na Região Metropolitana, da qual Niterói faz parte, evidencia que nossa cidade não está imune a essa tragédia e, portanto, deve assumir um papel proativo no enfrentamento de </w:t>
      </w:r>
      <w:r w:rsidR="00A76CEA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bookmarkStart w:id="0" w:name="_GoBack"/>
      <w:bookmarkEnd w:id="0"/>
      <w:r w:rsidRPr="007C195A">
        <w:rPr>
          <w:rFonts w:ascii="Tahoma" w:eastAsia="Times New Roman" w:hAnsi="Tahoma" w:cs="Tahoma"/>
          <w:sz w:val="24"/>
          <w:szCs w:val="24"/>
          <w:lang w:eastAsia="pt-BR"/>
        </w:rPr>
        <w:t>suas consequências.</w:t>
      </w:r>
    </w:p>
    <w:p w:rsidR="007C195A" w:rsidRPr="007C195A" w:rsidRDefault="007C195A" w:rsidP="007C195A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 xml:space="preserve">Esses números representam mais do que estatísticas frias; eles representam vidas ceifadas, famílias dilaceradas e, </w:t>
      </w:r>
      <w:r w:rsidRPr="007C195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fundamentalmente</w:t>
      </w:r>
      <w:r w:rsidRPr="007C195A">
        <w:rPr>
          <w:rFonts w:ascii="Tahoma" w:eastAsia="Times New Roman" w:hAnsi="Tahoma" w:cs="Tahoma"/>
          <w:sz w:val="24"/>
          <w:szCs w:val="24"/>
          <w:lang w:eastAsia="pt-BR"/>
        </w:rPr>
        <w:t>, a existência de milhares de crianças e adolescentes que, de um dia para o outro, perdem suas mães de forma brutal e violenta.</w:t>
      </w:r>
    </w:p>
    <w:p w:rsidR="007C195A" w:rsidRPr="007C195A" w:rsidRDefault="007C195A" w:rsidP="007C195A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O assassinato de uma mãe em um contexto de feminicídio tem desdobramentos profundamente traumáticos e duradouros na vida das crianças e adolescentes que se tornam órfãos. A perda abrupta e violenta da figura materna desencadeia uma série de consequências negativas que afetam a </w:t>
      </w:r>
      <w:r w:rsidRPr="007C195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vida, a saúde mental e o pleno desenvolvimento</w:t>
      </w: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 desses indivíduos:</w:t>
      </w:r>
    </w:p>
    <w:p w:rsidR="007C195A" w:rsidRPr="007C195A" w:rsidRDefault="007C195A" w:rsidP="007C19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Trauma Psicológico Profundo:</w:t>
      </w: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 A exposição à violência ou o conhecimento de sua ocorrência pode gerar transtornos de estresse pós-traumático, ansiedade, depressão, problemas de sono e dificuldades de socialização. O luto é agravado pela circunstância violenta da morte da mãe, dificultando o processo de elaboração.</w:t>
      </w:r>
    </w:p>
    <w:p w:rsidR="007C195A" w:rsidRPr="007C195A" w:rsidRDefault="007C195A" w:rsidP="007C19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Rompimento de Vínculos Familiares:</w:t>
      </w: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 Muitas vezes, esses órfãos são separados de suas famílias de origem ou precisam se adaptar a novos cuidadores, o que pode gerar instabilidade e um sentimento de desamparo.</w:t>
      </w:r>
    </w:p>
    <w:p w:rsidR="00474454" w:rsidRPr="00474454" w:rsidRDefault="00474454" w:rsidP="00474454">
      <w:pPr>
        <w:numPr>
          <w:ilvl w:val="0"/>
          <w:numId w:val="1"/>
        </w:numPr>
        <w:spacing w:before="100" w:beforeAutospacing="1" w:after="100" w:afterAutospacing="1" w:line="240" w:lineRule="auto"/>
        <w:ind w:left="714" w:hanging="357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74454">
        <w:rPr>
          <w:rStyle w:val="Forte"/>
          <w:rFonts w:ascii="Tahoma" w:hAnsi="Tahoma" w:cs="Tahoma"/>
          <w:sz w:val="24"/>
          <w:szCs w:val="24"/>
        </w:rPr>
        <w:t>Dificuldades Educacionais:</w:t>
      </w:r>
      <w:r w:rsidRPr="00474454">
        <w:rPr>
          <w:rFonts w:ascii="Tahoma" w:hAnsi="Tahoma" w:cs="Tahoma"/>
          <w:sz w:val="24"/>
          <w:szCs w:val="24"/>
        </w:rPr>
        <w:t xml:space="preserve"> O trauma e a instabilidade emocional podem levar a problemas de concentração, queda no rendimento escolar, evasão e, consequentemente, comprometer o futuro educacional e profissional. A articulação com programas federais como o </w:t>
      </w:r>
      <w:r w:rsidRPr="00474454">
        <w:rPr>
          <w:rStyle w:val="Forte"/>
          <w:rFonts w:ascii="Tahoma" w:hAnsi="Tahoma" w:cs="Tahoma"/>
          <w:sz w:val="24"/>
          <w:szCs w:val="24"/>
        </w:rPr>
        <w:t>Programa Pé de Meia do Ministério da Educação</w:t>
      </w:r>
      <w:r w:rsidRPr="00474454">
        <w:rPr>
          <w:rFonts w:ascii="Tahoma" w:hAnsi="Tahoma" w:cs="Tahoma"/>
          <w:sz w:val="24"/>
          <w:szCs w:val="24"/>
        </w:rPr>
        <w:t>, que oferece incentivos financeiros para a permanência no ensino médio, torna-se crucial para mitigar o risco de abandono escolar e garantir um futuro mais promissor para esses adolescentes.</w:t>
      </w:r>
    </w:p>
    <w:p w:rsidR="007C195A" w:rsidRPr="007C195A" w:rsidRDefault="007C195A" w:rsidP="007C19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Vulnerabilidade Social e Econômica:</w:t>
      </w: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 A perda da mãe pode implicar na desestruturação econômica da família, expondo essas crianças e adolescentes a situações de maior vulnerabilidade social, pobreza e, em casos extremos, à exploração.</w:t>
      </w:r>
    </w:p>
    <w:p w:rsidR="007C195A" w:rsidRPr="007C195A" w:rsidRDefault="007C195A" w:rsidP="007C19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Problemas de Saúde:</w:t>
      </w: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 O estresse crônico pode afetar a saúde física, tornando-os mais suscetíveis a doenças.</w:t>
      </w:r>
    </w:p>
    <w:p w:rsidR="007C195A" w:rsidRPr="007C195A" w:rsidRDefault="007C195A" w:rsidP="007C195A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>Ignorar essa realidade significa perpetuar um ciclo de dor e fragilidade, deixando esses jovens à mercê de um futuro incerto e sem o suporte necessário para superar um trauma tão profundo.</w:t>
      </w:r>
    </w:p>
    <w:p w:rsidR="007C195A" w:rsidRPr="007C195A" w:rsidRDefault="007C195A" w:rsidP="007C195A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A persistência do feminicídio e de outras formas de violência de gênero é um reflexo direto da cultura do </w:t>
      </w:r>
      <w:r w:rsidRPr="007C195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machismo e do patriarcado</w:t>
      </w:r>
      <w:r w:rsidRPr="007C195A">
        <w:rPr>
          <w:rFonts w:ascii="Tahoma" w:eastAsia="Times New Roman" w:hAnsi="Tahoma" w:cs="Tahoma"/>
          <w:sz w:val="24"/>
          <w:szCs w:val="24"/>
          <w:lang w:eastAsia="pt-BR"/>
        </w:rPr>
        <w:t>, que, lamentavelmente, ainda são muito fortes em nossa sociedade. Essas estruturas sociais milenares perpetuam a ideia de que a mulher é uma propriedade ou um ser inferior, legitimando a violência como forma de controle e dominação. O feminicídio é a expressão mais extrema dessa cultura, onde a vida da mulher é vista como descartável e seu valor é negado.</w:t>
      </w:r>
    </w:p>
    <w:p w:rsidR="007C195A" w:rsidRPr="007C195A" w:rsidRDefault="007C195A" w:rsidP="007C195A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sz w:val="24"/>
          <w:szCs w:val="24"/>
          <w:lang w:eastAsia="pt-BR"/>
        </w:rPr>
        <w:t>O enfrentamento desse fenômeno exige mais do que ações punitivas; demanda uma transformação cultural profunda, que comece pela desconstrução de padrões machistas e pela promoção da igualdade de gênero em todas as esferas.</w:t>
      </w:r>
    </w:p>
    <w:p w:rsidR="007C195A" w:rsidRPr="007C195A" w:rsidRDefault="007C195A" w:rsidP="007C195A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Nesse contexto, a instituição da Política de Apoio Integral a Crianças e Adolescentes Órfãos de Vítimas de Feminicídio em Niterói se torna uma iniciativa de extrema relevância. Ao correlacionar o projeto com o </w:t>
      </w:r>
      <w:r w:rsidRPr="007C195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Pacto Niterói Contra a Violência</w:t>
      </w:r>
      <w:r w:rsidRPr="007C195A">
        <w:rPr>
          <w:rFonts w:ascii="Tahoma" w:eastAsia="Times New Roman" w:hAnsi="Tahoma" w:cs="Tahoma"/>
          <w:sz w:val="24"/>
          <w:szCs w:val="24"/>
          <w:lang w:eastAsia="pt-BR"/>
        </w:rPr>
        <w:t xml:space="preserve"> e integrar as demais políticas públicas do município, a cidade de Niterói demonstra um compromisso efetivo e inovador com a proteção de suas crianças e adolescentes.</w:t>
      </w:r>
    </w:p>
    <w:p w:rsidR="00CB373D" w:rsidRDefault="00CB373D" w:rsidP="007C195A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B373D" w:rsidRDefault="00CB373D" w:rsidP="007C195A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7C195A" w:rsidRDefault="007C195A" w:rsidP="007C195A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C195A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>Esta lei não apenas garante direitos e oferece suporte concreto, mas também se insere como um componente crucial no debate e enfrentamento deste fenômeno que ainda persiste em nossa sociedade. Ao visibilizar e amparar os órfãos do feminicídio, Niterói assume uma postura de vanguarda na luta contra a violência de gênero, construindo uma sociedade mais justa, solidária e protetiva para as novas gerações. É um passo fundamental para romper o ciclo da violência e construir um futuro onde nenhuma criança precise sofrer a perda de sua mãe de forma tão cruel e injusta.</w:t>
      </w:r>
    </w:p>
    <w:p w:rsidR="00C92F8C" w:rsidRPr="007C195A" w:rsidRDefault="00C92F8C" w:rsidP="007C195A">
      <w:pPr>
        <w:spacing w:before="100" w:beforeAutospacing="1" w:after="100" w:afterAutospacing="1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hAnsi="Tahoma" w:cs="Tahoma"/>
          <w:sz w:val="24"/>
          <w:szCs w:val="26"/>
        </w:rPr>
        <w:t xml:space="preserve">Assim, </w:t>
      </w:r>
      <w:r w:rsidR="00A22CB2">
        <w:rPr>
          <w:rFonts w:ascii="Tahoma" w:hAnsi="Tahoma" w:cs="Tahoma"/>
          <w:sz w:val="24"/>
          <w:szCs w:val="26"/>
        </w:rPr>
        <w:t>pelo exposto</w:t>
      </w:r>
      <w:r>
        <w:rPr>
          <w:rFonts w:ascii="Tahoma" w:hAnsi="Tahoma" w:cs="Tahoma"/>
          <w:sz w:val="24"/>
          <w:szCs w:val="26"/>
        </w:rPr>
        <w:t>, peço apoio à Egrégia Casa Legislativa para apreciação, aceitação e aprovação deste projeto de lei.</w:t>
      </w:r>
    </w:p>
    <w:p w:rsidR="00C92F8C" w:rsidRPr="00C92F8C" w:rsidRDefault="00C92F8C" w:rsidP="00C92F8C">
      <w:pPr>
        <w:jc w:val="both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890321" w:rsidRDefault="00890321" w:rsidP="00890321">
      <w:pPr>
        <w:ind w:firstLine="525"/>
        <w:jc w:val="center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Sala das Sessões, </w:t>
      </w:r>
      <w:r w:rsidR="00774FB8">
        <w:rPr>
          <w:rFonts w:ascii="Tahoma" w:hAnsi="Tahoma" w:cs="Tahoma"/>
          <w:sz w:val="24"/>
          <w:szCs w:val="26"/>
        </w:rPr>
        <w:t>03</w:t>
      </w:r>
      <w:r>
        <w:rPr>
          <w:rFonts w:ascii="Tahoma" w:hAnsi="Tahoma" w:cs="Tahoma"/>
          <w:sz w:val="24"/>
          <w:szCs w:val="26"/>
        </w:rPr>
        <w:t xml:space="preserve"> de </w:t>
      </w:r>
      <w:r w:rsidR="00774FB8">
        <w:rPr>
          <w:rFonts w:ascii="Tahoma" w:hAnsi="Tahoma" w:cs="Tahoma"/>
          <w:sz w:val="24"/>
          <w:szCs w:val="26"/>
        </w:rPr>
        <w:t>jun</w:t>
      </w:r>
      <w:r w:rsidR="00F20670">
        <w:rPr>
          <w:rFonts w:ascii="Tahoma" w:hAnsi="Tahoma" w:cs="Tahoma"/>
          <w:sz w:val="24"/>
          <w:szCs w:val="26"/>
        </w:rPr>
        <w:t>ho</w:t>
      </w:r>
      <w:r w:rsidR="00774FB8">
        <w:rPr>
          <w:rFonts w:ascii="Tahoma" w:hAnsi="Tahoma" w:cs="Tahoma"/>
          <w:sz w:val="24"/>
          <w:szCs w:val="26"/>
        </w:rPr>
        <w:t xml:space="preserve"> de 2025</w:t>
      </w:r>
      <w:r>
        <w:rPr>
          <w:rFonts w:ascii="Tahoma" w:hAnsi="Tahoma" w:cs="Tahoma"/>
          <w:sz w:val="24"/>
          <w:szCs w:val="26"/>
        </w:rPr>
        <w:t>.</w:t>
      </w:r>
    </w:p>
    <w:p w:rsidR="00FE663B" w:rsidRDefault="00280BAE" w:rsidP="00890321">
      <w:pPr>
        <w:ind w:firstLine="525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</w:p>
    <w:p w:rsidR="00890321" w:rsidRPr="00890321" w:rsidRDefault="00890321" w:rsidP="00890321">
      <w:pPr>
        <w:ind w:firstLine="525"/>
        <w:jc w:val="both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</w:p>
    <w:p w:rsidR="000863A4" w:rsidRDefault="000863A4" w:rsidP="00B61B34">
      <w:pPr>
        <w:spacing w:after="0" w:line="360" w:lineRule="auto"/>
        <w:ind w:firstLine="525"/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Jhonatan Anjos</w:t>
      </w:r>
    </w:p>
    <w:p w:rsidR="00B61B34" w:rsidRPr="00786F3C" w:rsidRDefault="00B61B34" w:rsidP="00B61B34">
      <w:pPr>
        <w:spacing w:after="0"/>
        <w:ind w:firstLine="525"/>
        <w:jc w:val="center"/>
        <w:rPr>
          <w:rFonts w:ascii="Tahoma" w:hAnsi="Tahoma" w:cs="Tahoma"/>
          <w:sz w:val="24"/>
          <w:szCs w:val="26"/>
        </w:rPr>
      </w:pPr>
      <w:r w:rsidRPr="00786F3C">
        <w:rPr>
          <w:rFonts w:ascii="Tahoma" w:hAnsi="Tahoma" w:cs="Tahoma"/>
          <w:sz w:val="24"/>
          <w:szCs w:val="26"/>
        </w:rPr>
        <w:t>Vereador</w:t>
      </w:r>
      <w:r w:rsidR="008F0D6F" w:rsidRPr="00786F3C">
        <w:rPr>
          <w:rFonts w:ascii="Tahoma" w:hAnsi="Tahoma" w:cs="Tahoma"/>
          <w:sz w:val="24"/>
          <w:szCs w:val="26"/>
        </w:rPr>
        <w:t xml:space="preserve"> - PDT</w:t>
      </w:r>
    </w:p>
    <w:sectPr w:rsidR="00B61B34" w:rsidRPr="00786F3C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853" w:rsidRDefault="00697853" w:rsidP="000E0409">
      <w:pPr>
        <w:spacing w:after="0" w:line="240" w:lineRule="auto"/>
      </w:pPr>
      <w:r>
        <w:separator/>
      </w:r>
    </w:p>
  </w:endnote>
  <w:endnote w:type="continuationSeparator" w:id="0">
    <w:p w:rsidR="00697853" w:rsidRDefault="00697853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AB6BDF" w:rsidRPr="00747623" w:rsidRDefault="00774FB8" w:rsidP="00AB6BDF">
    <w:pPr>
      <w:spacing w:after="0" w:line="240" w:lineRule="auto"/>
      <w:ind w:left="113" w:right="113" w:firstLine="28"/>
      <w:jc w:val="center"/>
      <w:rPr>
        <w:rFonts w:cs="Arial"/>
      </w:rPr>
    </w:pPr>
    <w:r>
      <w:rPr>
        <w:rFonts w:cs="Arial"/>
      </w:rPr>
      <w:t>Gabinete 11</w:t>
    </w:r>
    <w:r w:rsidR="00AB6BDF">
      <w:rPr>
        <w:rFonts w:cs="Arial"/>
      </w:rPr>
      <w:t xml:space="preserve"> – </w:t>
    </w:r>
    <w:r>
      <w:rPr>
        <w:rFonts w:cs="Arial"/>
      </w:rPr>
      <w:t>Telefone: (21) 3716-8600</w:t>
    </w:r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853" w:rsidRDefault="00697853" w:rsidP="000E0409">
      <w:pPr>
        <w:spacing w:after="0" w:line="240" w:lineRule="auto"/>
      </w:pPr>
      <w:r>
        <w:separator/>
      </w:r>
    </w:p>
  </w:footnote>
  <w:footnote w:type="continuationSeparator" w:id="0">
    <w:p w:rsidR="00697853" w:rsidRDefault="00697853" w:rsidP="000E0409">
      <w:pPr>
        <w:spacing w:after="0" w:line="240" w:lineRule="auto"/>
      </w:pPr>
      <w:r>
        <w:continuationSeparator/>
      </w:r>
    </w:p>
  </w:footnote>
  <w:footnote w:id="1">
    <w:p w:rsidR="00474454" w:rsidRPr="009A554A" w:rsidRDefault="00474454" w:rsidP="00474454">
      <w:pPr>
        <w:pStyle w:val="Textodenotaderodap"/>
        <w:jc w:val="both"/>
        <w:rPr>
          <w:rFonts w:ascii="Tahoma" w:hAnsi="Tahoma" w:cs="Tahoma"/>
        </w:rPr>
      </w:pPr>
      <w:r w:rsidRPr="009A554A">
        <w:rPr>
          <w:rStyle w:val="Refdenotaderodap"/>
          <w:rFonts w:ascii="Tahoma" w:hAnsi="Tahoma" w:cs="Tahoma"/>
        </w:rPr>
        <w:footnoteRef/>
      </w:r>
      <w:r w:rsidRPr="009A554A">
        <w:rPr>
          <w:rFonts w:ascii="Tahoma" w:hAnsi="Tahoma" w:cs="Tahoma"/>
        </w:rPr>
        <w:t xml:space="preserve"> Dossiê Mulher 2024 (pág. 18). Disponível em: </w:t>
      </w:r>
      <w:hyperlink r:id="rId1" w:history="1">
        <w:r w:rsidRPr="009A554A">
          <w:rPr>
            <w:rStyle w:val="Hyperlink"/>
            <w:rFonts w:ascii="Tahoma" w:hAnsi="Tahoma" w:cs="Tahoma"/>
          </w:rPr>
          <w:t>https://www.rj.gov.br/isp/sites/default/files/2024-12/Dossi%C3%AA%20Mulher%202024%20%283%29.pdf</w:t>
        </w:r>
      </w:hyperlink>
      <w:r w:rsidRPr="009A554A">
        <w:rPr>
          <w:rFonts w:ascii="Tahoma" w:hAnsi="Tahoma" w:cs="Tahoma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E1CCA"/>
    <w:multiLevelType w:val="multilevel"/>
    <w:tmpl w:val="7614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124F2"/>
    <w:rsid w:val="000158F1"/>
    <w:rsid w:val="00027B36"/>
    <w:rsid w:val="00036277"/>
    <w:rsid w:val="00055E8B"/>
    <w:rsid w:val="000863A4"/>
    <w:rsid w:val="000E0409"/>
    <w:rsid w:val="000E5188"/>
    <w:rsid w:val="00101589"/>
    <w:rsid w:val="001126BC"/>
    <w:rsid w:val="0012198B"/>
    <w:rsid w:val="00125FB9"/>
    <w:rsid w:val="001456B5"/>
    <w:rsid w:val="00147BD2"/>
    <w:rsid w:val="00152EB3"/>
    <w:rsid w:val="00161565"/>
    <w:rsid w:val="00164615"/>
    <w:rsid w:val="001C19BA"/>
    <w:rsid w:val="001C4A4A"/>
    <w:rsid w:val="001D0D9F"/>
    <w:rsid w:val="001F4C21"/>
    <w:rsid w:val="00202BB1"/>
    <w:rsid w:val="00221C3E"/>
    <w:rsid w:val="0022356F"/>
    <w:rsid w:val="002267CE"/>
    <w:rsid w:val="002472FA"/>
    <w:rsid w:val="00262DB1"/>
    <w:rsid w:val="00280BAE"/>
    <w:rsid w:val="002821F3"/>
    <w:rsid w:val="002A7846"/>
    <w:rsid w:val="002B6E50"/>
    <w:rsid w:val="002C138F"/>
    <w:rsid w:val="002D1D17"/>
    <w:rsid w:val="002D622F"/>
    <w:rsid w:val="002F2DD3"/>
    <w:rsid w:val="002F75EF"/>
    <w:rsid w:val="00301866"/>
    <w:rsid w:val="00302EFD"/>
    <w:rsid w:val="00311167"/>
    <w:rsid w:val="00312FB6"/>
    <w:rsid w:val="00334B15"/>
    <w:rsid w:val="003620E5"/>
    <w:rsid w:val="003731FA"/>
    <w:rsid w:val="00384C73"/>
    <w:rsid w:val="00393D4A"/>
    <w:rsid w:val="003B072D"/>
    <w:rsid w:val="003B6B34"/>
    <w:rsid w:val="003C0FED"/>
    <w:rsid w:val="003C1860"/>
    <w:rsid w:val="003C50D0"/>
    <w:rsid w:val="003E4EC9"/>
    <w:rsid w:val="00403D29"/>
    <w:rsid w:val="004247E5"/>
    <w:rsid w:val="00452D40"/>
    <w:rsid w:val="00456006"/>
    <w:rsid w:val="00462F2E"/>
    <w:rsid w:val="00474454"/>
    <w:rsid w:val="0048159F"/>
    <w:rsid w:val="00490CF9"/>
    <w:rsid w:val="00497A35"/>
    <w:rsid w:val="004A2826"/>
    <w:rsid w:val="004B62C6"/>
    <w:rsid w:val="004F3A61"/>
    <w:rsid w:val="004F547A"/>
    <w:rsid w:val="00503868"/>
    <w:rsid w:val="00536255"/>
    <w:rsid w:val="00547A70"/>
    <w:rsid w:val="0055425B"/>
    <w:rsid w:val="00556D31"/>
    <w:rsid w:val="00564E2C"/>
    <w:rsid w:val="00571B20"/>
    <w:rsid w:val="005736AF"/>
    <w:rsid w:val="00583262"/>
    <w:rsid w:val="00594F28"/>
    <w:rsid w:val="005D1EF7"/>
    <w:rsid w:val="005D3DBE"/>
    <w:rsid w:val="005F03B8"/>
    <w:rsid w:val="005F30CB"/>
    <w:rsid w:val="006010F6"/>
    <w:rsid w:val="00621D4B"/>
    <w:rsid w:val="00621FCD"/>
    <w:rsid w:val="006239A9"/>
    <w:rsid w:val="006305DE"/>
    <w:rsid w:val="006323D7"/>
    <w:rsid w:val="00645F3D"/>
    <w:rsid w:val="00667BAF"/>
    <w:rsid w:val="00681FC3"/>
    <w:rsid w:val="00693081"/>
    <w:rsid w:val="00694B0D"/>
    <w:rsid w:val="00697853"/>
    <w:rsid w:val="006B52E6"/>
    <w:rsid w:val="006C5A02"/>
    <w:rsid w:val="006E60BC"/>
    <w:rsid w:val="007105E0"/>
    <w:rsid w:val="00742539"/>
    <w:rsid w:val="00747F29"/>
    <w:rsid w:val="00753905"/>
    <w:rsid w:val="00764B20"/>
    <w:rsid w:val="00771859"/>
    <w:rsid w:val="00773663"/>
    <w:rsid w:val="00774FB8"/>
    <w:rsid w:val="00786F3C"/>
    <w:rsid w:val="00791CF2"/>
    <w:rsid w:val="007B2D6A"/>
    <w:rsid w:val="007B3F0E"/>
    <w:rsid w:val="007C12BD"/>
    <w:rsid w:val="007C195A"/>
    <w:rsid w:val="007E6B90"/>
    <w:rsid w:val="007F28BA"/>
    <w:rsid w:val="007F52EA"/>
    <w:rsid w:val="0080031C"/>
    <w:rsid w:val="00827602"/>
    <w:rsid w:val="00853EBA"/>
    <w:rsid w:val="00876589"/>
    <w:rsid w:val="00886522"/>
    <w:rsid w:val="00890321"/>
    <w:rsid w:val="00894519"/>
    <w:rsid w:val="008F0D6F"/>
    <w:rsid w:val="00943C9D"/>
    <w:rsid w:val="00965B0D"/>
    <w:rsid w:val="00981819"/>
    <w:rsid w:val="0098656F"/>
    <w:rsid w:val="00987BEE"/>
    <w:rsid w:val="009A1F2D"/>
    <w:rsid w:val="009A554A"/>
    <w:rsid w:val="009E3634"/>
    <w:rsid w:val="009E57F9"/>
    <w:rsid w:val="00A20823"/>
    <w:rsid w:val="00A22CB2"/>
    <w:rsid w:val="00A23C42"/>
    <w:rsid w:val="00A4313C"/>
    <w:rsid w:val="00A4735E"/>
    <w:rsid w:val="00A76CEA"/>
    <w:rsid w:val="00A7740C"/>
    <w:rsid w:val="00A8636C"/>
    <w:rsid w:val="00A86FA6"/>
    <w:rsid w:val="00A92331"/>
    <w:rsid w:val="00AB1532"/>
    <w:rsid w:val="00AB6BDF"/>
    <w:rsid w:val="00AE2BE9"/>
    <w:rsid w:val="00B05B06"/>
    <w:rsid w:val="00B25341"/>
    <w:rsid w:val="00B32100"/>
    <w:rsid w:val="00B3411F"/>
    <w:rsid w:val="00B37C7C"/>
    <w:rsid w:val="00B55D42"/>
    <w:rsid w:val="00B61B34"/>
    <w:rsid w:val="00BC15F9"/>
    <w:rsid w:val="00BC6C1D"/>
    <w:rsid w:val="00C029B8"/>
    <w:rsid w:val="00C059FB"/>
    <w:rsid w:val="00C33B0F"/>
    <w:rsid w:val="00C37031"/>
    <w:rsid w:val="00C632C1"/>
    <w:rsid w:val="00C74CCF"/>
    <w:rsid w:val="00C77CDA"/>
    <w:rsid w:val="00C81F52"/>
    <w:rsid w:val="00C8308C"/>
    <w:rsid w:val="00C872BC"/>
    <w:rsid w:val="00C87E99"/>
    <w:rsid w:val="00C92F8C"/>
    <w:rsid w:val="00CA1DDB"/>
    <w:rsid w:val="00CA22AC"/>
    <w:rsid w:val="00CA29AF"/>
    <w:rsid w:val="00CB30D6"/>
    <w:rsid w:val="00CB32B8"/>
    <w:rsid w:val="00CB373D"/>
    <w:rsid w:val="00CE4E30"/>
    <w:rsid w:val="00CE7DD9"/>
    <w:rsid w:val="00D00C4E"/>
    <w:rsid w:val="00D513FA"/>
    <w:rsid w:val="00D57CFA"/>
    <w:rsid w:val="00D65DB5"/>
    <w:rsid w:val="00D7610F"/>
    <w:rsid w:val="00D9320D"/>
    <w:rsid w:val="00D9799C"/>
    <w:rsid w:val="00DA2508"/>
    <w:rsid w:val="00DA2AFD"/>
    <w:rsid w:val="00DA3FB9"/>
    <w:rsid w:val="00DC22F0"/>
    <w:rsid w:val="00DD74FA"/>
    <w:rsid w:val="00E012E0"/>
    <w:rsid w:val="00E1119B"/>
    <w:rsid w:val="00E3159F"/>
    <w:rsid w:val="00E64969"/>
    <w:rsid w:val="00E70422"/>
    <w:rsid w:val="00E70A2D"/>
    <w:rsid w:val="00E906FE"/>
    <w:rsid w:val="00EC00B3"/>
    <w:rsid w:val="00ED2B43"/>
    <w:rsid w:val="00EE2B8E"/>
    <w:rsid w:val="00F02689"/>
    <w:rsid w:val="00F04515"/>
    <w:rsid w:val="00F20649"/>
    <w:rsid w:val="00F20670"/>
    <w:rsid w:val="00F25EED"/>
    <w:rsid w:val="00F60F61"/>
    <w:rsid w:val="00F90966"/>
    <w:rsid w:val="00F9563A"/>
    <w:rsid w:val="00FB0FF4"/>
    <w:rsid w:val="00FB3490"/>
    <w:rsid w:val="00FB448B"/>
    <w:rsid w:val="00FC03B9"/>
    <w:rsid w:val="00FC5F93"/>
    <w:rsid w:val="00FE5E87"/>
    <w:rsid w:val="00FE65DC"/>
    <w:rsid w:val="00FE663B"/>
    <w:rsid w:val="00FE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D3DBE"/>
    <w:rPr>
      <w:b/>
      <w:bCs/>
    </w:rPr>
  </w:style>
  <w:style w:type="character" w:customStyle="1" w:styleId="citation-8">
    <w:name w:val="citation-8"/>
    <w:basedOn w:val="Fontepargpadro"/>
    <w:rsid w:val="005D3DBE"/>
  </w:style>
  <w:style w:type="character" w:customStyle="1" w:styleId="animating">
    <w:name w:val="animating"/>
    <w:basedOn w:val="Fontepargpadro"/>
    <w:rsid w:val="007C19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D3DBE"/>
    <w:rPr>
      <w:b/>
      <w:bCs/>
    </w:rPr>
  </w:style>
  <w:style w:type="character" w:customStyle="1" w:styleId="citation-8">
    <w:name w:val="citation-8"/>
    <w:basedOn w:val="Fontepargpadro"/>
    <w:rsid w:val="005D3DBE"/>
  </w:style>
  <w:style w:type="character" w:customStyle="1" w:styleId="animating">
    <w:name w:val="animating"/>
    <w:basedOn w:val="Fontepargpadro"/>
    <w:rsid w:val="007C19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567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242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565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4198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29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rj.gov.br/isp/sites/default/files/2024-12/Dossi%C3%AA%20Mulher%202024%20%283%29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95EF8-9ED9-4F1C-9469-608C35539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2017</Words>
  <Characters>10895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Gabinete Jhonatan Anjos</cp:lastModifiedBy>
  <cp:revision>5</cp:revision>
  <cp:lastPrinted>2025-06-10T15:57:00Z</cp:lastPrinted>
  <dcterms:created xsi:type="dcterms:W3CDTF">2025-06-03T17:59:00Z</dcterms:created>
  <dcterms:modified xsi:type="dcterms:W3CDTF">2025-06-10T16:00:00Z</dcterms:modified>
</cp:coreProperties>
</file>