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42C16164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r w:rsidR="008946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416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729BA0D7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PREFEITO 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RODRIGO NEVES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 MENSAGEM EXECUTIVA N.º    0</w:t>
            </w:r>
            <w:r w:rsidR="008946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29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6FEFA727" w14:textId="1E1BF75A" w:rsidR="00CE2EE4" w:rsidRPr="00AC38EC" w:rsidRDefault="009C390B" w:rsidP="00AC38EC">
            <w:pPr>
              <w:pStyle w:val="CorpoAAA"/>
              <w:widowControl w:val="0"/>
              <w:rPr>
                <w:rFonts w:ascii="Tahoma" w:eastAsia="Arial" w:hAnsi="Tahoma" w:cs="Tahoma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894633">
              <w:rPr>
                <w:rFonts w:asciiTheme="minorHAnsi" w:hAnsiTheme="minorHAnsi" w:cstheme="minorHAnsi"/>
                <w:b/>
                <w:bCs/>
                <w:smallCaps/>
              </w:rPr>
              <w:t xml:space="preserve">  </w:t>
            </w:r>
            <w:r w:rsidR="00894633" w:rsidRPr="00AC38EC">
              <w:rPr>
                <w:rFonts w:ascii="Tahoma" w:hAnsi="Tahoma" w:cs="Tahoma"/>
                <w:b/>
                <w:bCs/>
              </w:rPr>
              <w:t>Dispõe sobre o incentivo financeiro ao Carnaval da cidade, define critérios, instrumentos jurídicos, regras de repasse e prestação de contas das subvenções públicas concedidas às escolas de samba, blocos carnavalescos e carnavais de bairro e clubes do Município de Niterói, e dá outras providências.</w:t>
            </w: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69F26792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8946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Binho Guimarães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2BAE25C2" w14:textId="25BF4688" w:rsidR="00894633" w:rsidRPr="00894633" w:rsidRDefault="00894633" w:rsidP="00894633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 xml:space="preserve">Trata-se do Projeto de Lei nº </w:t>
      </w:r>
      <w:r w:rsidR="00AC38EC">
        <w:rPr>
          <w:rFonts w:asciiTheme="minorHAnsi" w:hAnsiTheme="minorHAnsi" w:cstheme="minorHAnsi"/>
          <w:color w:val="000000"/>
          <w:sz w:val="22"/>
          <w:szCs w:val="22"/>
        </w:rPr>
        <w:t>416</w:t>
      </w:r>
      <w:r w:rsidRPr="00894633">
        <w:rPr>
          <w:rFonts w:asciiTheme="minorHAnsi" w:hAnsiTheme="minorHAnsi" w:cstheme="minorHAnsi"/>
          <w:color w:val="000000"/>
          <w:sz w:val="22"/>
          <w:szCs w:val="22"/>
        </w:rPr>
        <w:t>/2025, de autoria do Poder Executivo, que “dispõe sobre o incentivo financeiro ao Carnaval da cidade de Niterói, define critérios, instrumentos jurídicos, regras de repasse e prestação de contas das subvenções públicas concedidas às escolas de samba, blocos carnavalescos e carnavais de bairro e clubes do Município de Niterói”.</w:t>
      </w:r>
    </w:p>
    <w:p w14:paraId="52EB47BC" w14:textId="77777777" w:rsidR="00894633" w:rsidRPr="00894633" w:rsidRDefault="00894633" w:rsidP="00894633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O objetivo é modernizar a Lei Municipal nº 3.821/2023, adequando-a à Lei Federal nº 13.019/2014 (Marco Regulatório das Organizações da Sociedade Civil – MROSC) e ao Decreto Municipal nº 13.996/2021, que regulamenta as parcerias culturais e de fomento no âmbito local.</w:t>
      </w:r>
    </w:p>
    <w:p w14:paraId="484040F5" w14:textId="53213D61" w:rsidR="00F909B9" w:rsidRPr="00AC38EC" w:rsidRDefault="00894633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AC38EC">
        <w:rPr>
          <w:rFonts w:asciiTheme="minorHAnsi" w:hAnsiTheme="minorHAnsi" w:cstheme="minorHAnsi"/>
          <w:color w:val="000000"/>
          <w:sz w:val="22"/>
          <w:szCs w:val="22"/>
        </w:rPr>
        <w:t xml:space="preserve">O projeto ainda aprimora os mecanismos de controle, exigindo plano de trabalho, prestação de contas detalhada, contrapartidas socioculturais e proibição de despesas alheias ao objeto da subvenção, conforme disciplinado nos </w:t>
      </w:r>
      <w:proofErr w:type="spellStart"/>
      <w:r w:rsidRPr="00AC38EC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AC38EC">
        <w:rPr>
          <w:rFonts w:asciiTheme="minorHAnsi" w:hAnsiTheme="minorHAnsi" w:cstheme="minorHAnsi"/>
          <w:color w:val="000000"/>
          <w:sz w:val="22"/>
          <w:szCs w:val="22"/>
        </w:rPr>
        <w:t>. 3º, 5º e 11 da proposição.</w:t>
      </w: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7366DC8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Analisando o mérito orçamentário e financeiro, constata-se que o projeto atende plenamente aos princípios da responsabilidade fiscal, transparência e controle social.</w:t>
      </w:r>
    </w:p>
    <w:p w14:paraId="1E1E523F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O impacto orçamentário-financeiro anexo cumpre os requisitos legais da LRF, notadamente:</w:t>
      </w:r>
    </w:p>
    <w:p w14:paraId="0C460465" w14:textId="77777777" w:rsidR="00894633" w:rsidRPr="00894633" w:rsidRDefault="00894633" w:rsidP="00894633">
      <w:pPr>
        <w:pStyle w:val="Corpodetexto"/>
        <w:numPr>
          <w:ilvl w:val="0"/>
          <w:numId w:val="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15:</w:t>
      </w:r>
      <w:r w:rsidRPr="00894633">
        <w:rPr>
          <w:rFonts w:asciiTheme="minorHAnsi" w:hAnsiTheme="minorHAnsi" w:cstheme="minorHAnsi"/>
          <w:color w:val="000000"/>
          <w:sz w:val="22"/>
          <w:szCs w:val="22"/>
        </w:rPr>
        <w:t xml:space="preserve"> evidencia o custo da política pública e demonstra a estimativa de impacto nos três exercícios seguintes;</w:t>
      </w:r>
    </w:p>
    <w:p w14:paraId="7523516F" w14:textId="77777777" w:rsidR="00894633" w:rsidRPr="00894633" w:rsidRDefault="00894633" w:rsidP="00894633">
      <w:pPr>
        <w:pStyle w:val="Corpodetexto"/>
        <w:numPr>
          <w:ilvl w:val="0"/>
          <w:numId w:val="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16:</w:t>
      </w:r>
      <w:r w:rsidRPr="00894633">
        <w:rPr>
          <w:rFonts w:asciiTheme="minorHAnsi" w:hAnsiTheme="minorHAnsi" w:cstheme="minorHAnsi"/>
          <w:color w:val="000000"/>
          <w:sz w:val="22"/>
          <w:szCs w:val="22"/>
        </w:rPr>
        <w:t xml:space="preserve"> apresenta declaração de adequação orçamentária e compatibilidade com o PPA, LDO e LOA;</w:t>
      </w:r>
    </w:p>
    <w:p w14:paraId="66F7F8BF" w14:textId="77777777" w:rsidR="00894633" w:rsidRPr="00894633" w:rsidRDefault="00894633" w:rsidP="00894633">
      <w:pPr>
        <w:pStyle w:val="Corpodetexto"/>
        <w:numPr>
          <w:ilvl w:val="0"/>
          <w:numId w:val="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Art. 17:</w:t>
      </w:r>
      <w:r w:rsidRPr="00894633">
        <w:rPr>
          <w:rFonts w:asciiTheme="minorHAnsi" w:hAnsiTheme="minorHAnsi" w:cstheme="minorHAnsi"/>
          <w:color w:val="000000"/>
          <w:sz w:val="22"/>
          <w:szCs w:val="22"/>
        </w:rPr>
        <w:t xml:space="preserve"> indica que as despesas são de caráter continuado, mas compatíveis com a capacidade financeira do ente.</w:t>
      </w:r>
    </w:p>
    <w:p w14:paraId="520EA71B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A jurisprudência do Tribunal de Contas do Estado do Rio de Janeiro (TCE-RJ) tem reafirmado que o repasse de subvenções culturais é legítimo desde que haja planejamento, transparência e plano de trabalho aprovado, conforme entendimento firmado no Processo nº 100.012-6/2023 e no Enunciado nº 18/2019, que reconhece a natureza pública das ações de fomento cultural quando demonstrado o interesse coletivo.</w:t>
      </w:r>
    </w:p>
    <w:p w14:paraId="172D89FB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De igual modo, o Tribunal de Contas da União (TCU), por meio dos Acórdãos nº 1.699/2015-Plenário e nº 2.449/2020-Plenário, consolidou entendimento de que as transferências voluntárias e subvenções culturais devem estar acompanhadas de instrumentos de parceria, critérios objetivos de seleção e mecanismos de prestação de contas, requisitos que o presente projeto observa integralmente.</w:t>
      </w:r>
    </w:p>
    <w:p w14:paraId="49132D7C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O relator ressalta, ainda, que a política pública proposta se mostra adequada e necessária à manutenção da principal manifestação cultural da cidade, com impacto econômico positivo para o turismo e a economia criativa, além de promover inclusão social e geração de emprego temporário.</w:t>
      </w:r>
    </w:p>
    <w:p w14:paraId="7FC4DCF0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Não foram identificados riscos fiscais ou aumento indevido de despesa obrigatória, sendo o gasto plenamente compatível com a política de fomento cultural prevista no PPA vigente.</w:t>
      </w:r>
    </w:p>
    <w:p w14:paraId="3E5CDCCC" w14:textId="77777777" w:rsidR="00894633" w:rsidRPr="00894633" w:rsidRDefault="00894633" w:rsidP="00894633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Dessa forma, o relator vota favoravelmente à aprovação do Projeto de Lei, por atender às exigências da LRF e às boas práticas de gestão pública determinadas pelos Tribunais de Contas.</w:t>
      </w: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6B8C1840" w14:textId="77777777" w:rsidR="007030E6" w:rsidRDefault="007030E6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29811838" w14:textId="6522C0C5" w:rsidR="00894633" w:rsidRPr="00894633" w:rsidRDefault="00894633" w:rsidP="00676B28">
      <w:pPr>
        <w:pStyle w:val="Corpodetexto"/>
        <w:ind w:firstLine="708"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 xml:space="preserve">Diante do exposto, a Comissão Permanente de Fiscalização Financeira, Controle e Orçamento opina favoravelmente à aprovação do Projeto de Lei nº </w:t>
      </w:r>
      <w:r w:rsidR="00676B28" w:rsidRPr="00676B28">
        <w:rPr>
          <w:rFonts w:asciiTheme="minorHAnsi" w:hAnsiTheme="minorHAnsi" w:cstheme="minorHAnsi"/>
          <w:color w:val="000000"/>
          <w:sz w:val="22"/>
          <w:szCs w:val="22"/>
        </w:rPr>
        <w:t>416</w:t>
      </w:r>
      <w:r w:rsidRPr="00894633">
        <w:rPr>
          <w:rFonts w:asciiTheme="minorHAnsi" w:hAnsiTheme="minorHAnsi" w:cstheme="minorHAnsi"/>
          <w:color w:val="000000"/>
          <w:sz w:val="22"/>
          <w:szCs w:val="22"/>
        </w:rPr>
        <w:t>/2025, por estar:</w:t>
      </w:r>
    </w:p>
    <w:p w14:paraId="588AECE4" w14:textId="77777777" w:rsidR="00894633" w:rsidRPr="00894633" w:rsidRDefault="00894633" w:rsidP="00676B28">
      <w:pPr>
        <w:pStyle w:val="Corpodetexto"/>
        <w:numPr>
          <w:ilvl w:val="0"/>
          <w:numId w:val="8"/>
        </w:numPr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em conformidade com a Lei de Responsabilidade Fiscal;</w:t>
      </w:r>
    </w:p>
    <w:p w14:paraId="64AECAC8" w14:textId="77777777" w:rsidR="00894633" w:rsidRPr="00894633" w:rsidRDefault="00894633" w:rsidP="00676B28">
      <w:pPr>
        <w:pStyle w:val="Corpodetexto"/>
        <w:numPr>
          <w:ilvl w:val="0"/>
          <w:numId w:val="8"/>
        </w:numPr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embasado em impacto orçamentário-financeiro idôneo e compatível com o planejamento municipal;</w:t>
      </w:r>
    </w:p>
    <w:p w14:paraId="20A64056" w14:textId="77777777" w:rsidR="00894633" w:rsidRPr="00894633" w:rsidRDefault="00894633" w:rsidP="00676B28">
      <w:pPr>
        <w:pStyle w:val="Corpodetexto"/>
        <w:numPr>
          <w:ilvl w:val="0"/>
          <w:numId w:val="8"/>
        </w:numPr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t>alinhado à jurisprudência consolidada do TCE-RJ e do TCU sobre transferências e subvenções culturais;</w:t>
      </w:r>
    </w:p>
    <w:p w14:paraId="24FEE961" w14:textId="77777777" w:rsidR="00894633" w:rsidRPr="00894633" w:rsidRDefault="00894633" w:rsidP="00676B28">
      <w:pPr>
        <w:pStyle w:val="Corpodetexto"/>
        <w:numPr>
          <w:ilvl w:val="0"/>
          <w:numId w:val="8"/>
        </w:numPr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894633">
        <w:rPr>
          <w:rFonts w:asciiTheme="minorHAnsi" w:hAnsiTheme="minorHAnsi" w:cstheme="minorHAnsi"/>
          <w:color w:val="000000"/>
          <w:sz w:val="22"/>
          <w:szCs w:val="22"/>
        </w:rPr>
        <w:lastRenderedPageBreak/>
        <w:t>e plenamente justificado quanto ao interesse público, relevância cultural e retorno social.</w:t>
      </w:r>
    </w:p>
    <w:p w14:paraId="23128BE1" w14:textId="43102DE6" w:rsidR="001C30B3" w:rsidRPr="00503E1C" w:rsidRDefault="00AC38EC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1C30B3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proofErr w:type="gramStart"/>
      <w:r w:rsidR="00AA50DF">
        <w:rPr>
          <w:rFonts w:asciiTheme="minorHAnsi" w:hAnsiTheme="minorHAnsi" w:cstheme="minorHAnsi"/>
          <w:color w:val="000000"/>
          <w:sz w:val="22"/>
          <w:szCs w:val="22"/>
        </w:rPr>
        <w:t>21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>de</w:t>
      </w:r>
      <w:proofErr w:type="gramEnd"/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outubro</w:t>
      </w:r>
      <w:r w:rsidR="00AA50D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D7EC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D6C6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27AF8" w14:textId="77777777" w:rsidR="003D0E4E" w:rsidRDefault="003D0E4E">
      <w:r>
        <w:separator/>
      </w:r>
    </w:p>
  </w:endnote>
  <w:endnote w:type="continuationSeparator" w:id="0">
    <w:p w14:paraId="142D0922" w14:textId="77777777" w:rsidR="003D0E4E" w:rsidRDefault="003D0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19E67" w14:textId="77777777" w:rsidR="003D0E4E" w:rsidRDefault="003D0E4E">
      <w:r>
        <w:separator/>
      </w:r>
    </w:p>
  </w:footnote>
  <w:footnote w:type="continuationSeparator" w:id="0">
    <w:p w14:paraId="19608288" w14:textId="77777777" w:rsidR="003D0E4E" w:rsidRDefault="003D0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C32FE"/>
    <w:multiLevelType w:val="multilevel"/>
    <w:tmpl w:val="05D8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E4EE2"/>
    <w:multiLevelType w:val="multilevel"/>
    <w:tmpl w:val="0632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81751"/>
    <w:multiLevelType w:val="multilevel"/>
    <w:tmpl w:val="70DA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20272"/>
    <w:multiLevelType w:val="multilevel"/>
    <w:tmpl w:val="F822C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 w16cid:durableId="393116121">
    <w:abstractNumId w:val="7"/>
    <w:lvlOverride w:ilvl="0">
      <w:startOverride w:val="1"/>
    </w:lvlOverride>
  </w:num>
  <w:num w:numId="2" w16cid:durableId="1954818871">
    <w:abstractNumId w:val="3"/>
  </w:num>
  <w:num w:numId="3" w16cid:durableId="1168128929">
    <w:abstractNumId w:val="0"/>
  </w:num>
  <w:num w:numId="4" w16cid:durableId="6757552">
    <w:abstractNumId w:val="2"/>
  </w:num>
  <w:num w:numId="5" w16cid:durableId="101729303">
    <w:abstractNumId w:val="4"/>
  </w:num>
  <w:num w:numId="6" w16cid:durableId="1554579988">
    <w:abstractNumId w:val="5"/>
  </w:num>
  <w:num w:numId="7" w16cid:durableId="1345086237">
    <w:abstractNumId w:val="1"/>
  </w:num>
  <w:num w:numId="8" w16cid:durableId="19373272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EBC"/>
    <w:rsid w:val="00121F07"/>
    <w:rsid w:val="0012534B"/>
    <w:rsid w:val="001B1A95"/>
    <w:rsid w:val="001C30B3"/>
    <w:rsid w:val="001C40E6"/>
    <w:rsid w:val="001E4E80"/>
    <w:rsid w:val="001F16A8"/>
    <w:rsid w:val="001F5478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29C2"/>
    <w:rsid w:val="00305FE2"/>
    <w:rsid w:val="00307081"/>
    <w:rsid w:val="00331420"/>
    <w:rsid w:val="00336369"/>
    <w:rsid w:val="00337545"/>
    <w:rsid w:val="003577C6"/>
    <w:rsid w:val="003702BD"/>
    <w:rsid w:val="00373E7B"/>
    <w:rsid w:val="00377FF1"/>
    <w:rsid w:val="003A1BB6"/>
    <w:rsid w:val="003A3C34"/>
    <w:rsid w:val="003D0E4E"/>
    <w:rsid w:val="003D31EE"/>
    <w:rsid w:val="003D68C7"/>
    <w:rsid w:val="003D79E2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9651F"/>
    <w:rsid w:val="005B4505"/>
    <w:rsid w:val="005E56F1"/>
    <w:rsid w:val="005E7765"/>
    <w:rsid w:val="005F77C3"/>
    <w:rsid w:val="00623E13"/>
    <w:rsid w:val="006348E3"/>
    <w:rsid w:val="00661F2F"/>
    <w:rsid w:val="00670ED9"/>
    <w:rsid w:val="00676B28"/>
    <w:rsid w:val="006A1F93"/>
    <w:rsid w:val="006A6B5A"/>
    <w:rsid w:val="006B1C02"/>
    <w:rsid w:val="006D34F7"/>
    <w:rsid w:val="006D6FE0"/>
    <w:rsid w:val="006D7ECE"/>
    <w:rsid w:val="006E50AB"/>
    <w:rsid w:val="007029BC"/>
    <w:rsid w:val="007030E6"/>
    <w:rsid w:val="00731EC3"/>
    <w:rsid w:val="0073430C"/>
    <w:rsid w:val="0073777F"/>
    <w:rsid w:val="00754E5E"/>
    <w:rsid w:val="007607B5"/>
    <w:rsid w:val="007727F5"/>
    <w:rsid w:val="007C565E"/>
    <w:rsid w:val="007E5542"/>
    <w:rsid w:val="007F186B"/>
    <w:rsid w:val="007F5507"/>
    <w:rsid w:val="00806BD1"/>
    <w:rsid w:val="00814086"/>
    <w:rsid w:val="00821986"/>
    <w:rsid w:val="008234EB"/>
    <w:rsid w:val="008239C3"/>
    <w:rsid w:val="00837062"/>
    <w:rsid w:val="008434CF"/>
    <w:rsid w:val="00843E4A"/>
    <w:rsid w:val="00875395"/>
    <w:rsid w:val="008878C4"/>
    <w:rsid w:val="00894633"/>
    <w:rsid w:val="00897BA7"/>
    <w:rsid w:val="008A6F05"/>
    <w:rsid w:val="008C5E89"/>
    <w:rsid w:val="008D3A9E"/>
    <w:rsid w:val="008E449F"/>
    <w:rsid w:val="008F288A"/>
    <w:rsid w:val="0090020B"/>
    <w:rsid w:val="00907A26"/>
    <w:rsid w:val="009236FD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E1547"/>
    <w:rsid w:val="009E2B8E"/>
    <w:rsid w:val="00A06B68"/>
    <w:rsid w:val="00A20737"/>
    <w:rsid w:val="00A211E6"/>
    <w:rsid w:val="00A31328"/>
    <w:rsid w:val="00A37170"/>
    <w:rsid w:val="00A45BEF"/>
    <w:rsid w:val="00A51F1E"/>
    <w:rsid w:val="00A620C9"/>
    <w:rsid w:val="00A8581A"/>
    <w:rsid w:val="00A87AD6"/>
    <w:rsid w:val="00A90CAD"/>
    <w:rsid w:val="00A97BB4"/>
    <w:rsid w:val="00AA50DF"/>
    <w:rsid w:val="00AA5EF4"/>
    <w:rsid w:val="00AC38EC"/>
    <w:rsid w:val="00AC4FE4"/>
    <w:rsid w:val="00B04E62"/>
    <w:rsid w:val="00B13AA9"/>
    <w:rsid w:val="00B353B0"/>
    <w:rsid w:val="00B52E07"/>
    <w:rsid w:val="00B5453F"/>
    <w:rsid w:val="00B652B9"/>
    <w:rsid w:val="00B875E7"/>
    <w:rsid w:val="00B91C4F"/>
    <w:rsid w:val="00BB0215"/>
    <w:rsid w:val="00BC5EC5"/>
    <w:rsid w:val="00BC7157"/>
    <w:rsid w:val="00BD0793"/>
    <w:rsid w:val="00BD170C"/>
    <w:rsid w:val="00BE5F08"/>
    <w:rsid w:val="00BF1144"/>
    <w:rsid w:val="00C13CFC"/>
    <w:rsid w:val="00C234F1"/>
    <w:rsid w:val="00C235D8"/>
    <w:rsid w:val="00C36CD8"/>
    <w:rsid w:val="00C6798E"/>
    <w:rsid w:val="00C84EF5"/>
    <w:rsid w:val="00C85047"/>
    <w:rsid w:val="00CC23E4"/>
    <w:rsid w:val="00CD0C2A"/>
    <w:rsid w:val="00CD410A"/>
    <w:rsid w:val="00CE2EE4"/>
    <w:rsid w:val="00CF2B9B"/>
    <w:rsid w:val="00CF63A5"/>
    <w:rsid w:val="00D039FD"/>
    <w:rsid w:val="00D078E6"/>
    <w:rsid w:val="00D51B8B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B374E"/>
    <w:rsid w:val="00DC2759"/>
    <w:rsid w:val="00DD3DB4"/>
    <w:rsid w:val="00DE2338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47DB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customStyle="1" w:styleId="CorpoAAA">
    <w:name w:val="Corpo A A A"/>
    <w:rsid w:val="0089463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3</Pages>
  <Words>647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2025-10-22T18:13:00Z</cp:lastPrinted>
  <dcterms:created xsi:type="dcterms:W3CDTF">2025-10-22T18:14:00Z</dcterms:created>
  <dcterms:modified xsi:type="dcterms:W3CDTF">2025-10-22T18:14:00Z</dcterms:modified>
</cp:coreProperties>
</file>