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bookmarkStart w:colFirst="0" w:colLast="0" w:name="_heading=h.u7ftkt552y8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Defesa Pessoal nas Escolas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o Produto “Defesa Pessoal nas Escolas implantado”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Defesa Pessoal nas Escolas mantido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 das atividades dos núcleos de defesa pessoal implantados em escolas municipais, garantindo a continuidade do programa, o pagamento de instrutores e a reposição de materiais esportivos. O projeto promove a cultura de paz, o fortalecimento emocional e físico dos alunos e a integração entre corpo, mente e convivência social.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Niteroi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A manutenção do programa “Defesa Pessoal nas Escolas” assegura a continuidade das ações de promoção da saúde física, emocional e social no ambiente educacional, consolidando um modelo de educação integral e preventiva. As atividades de autodefesa auxiliam na redução de conflitos e no desenvolvimento de competências socioemocionais entre crianças e adolescentes.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custeio previsto garante a permanência dos instrutores, a renovação de equipamentos e a qualidade das aulas, mantendo o alcance e o impacto social já observados nas escolas beneficiadas. A continuidade do programa reforça o compromisso da gestão pública com políticas educacionais que priorizam a segurança, a igualdade de gênero e o fortalecimento da juventude por meio do esporte e da disciplina.</w:t>
      </w:r>
    </w:p>
    <w:p w:rsidR="00000000" w:rsidDel="00000000" w:rsidP="00000000" w:rsidRDefault="00000000" w:rsidRPr="00000000" w14:paraId="000000F3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72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B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7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4468762</wp:posOffset>
              </wp:positionH>
              <wp:positionV relativeFrom="page">
                <wp:posOffset>906393</wp:posOffset>
              </wp:positionV>
              <wp:extent cx="2297430" cy="314325"/>
              <wp:effectExtent b="0" l="0" r="0" t="0"/>
              <wp:wrapNone/>
              <wp:docPr id="163336377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4468762</wp:posOffset>
              </wp:positionH>
              <wp:positionV relativeFrom="page">
                <wp:posOffset>906393</wp:posOffset>
              </wp:positionV>
              <wp:extent cx="2297430" cy="314325"/>
              <wp:effectExtent b="0" l="0" r="0" t="0"/>
              <wp:wrapNone/>
              <wp:docPr id="163336377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97430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4303675</wp:posOffset>
              </wp:positionH>
              <wp:positionV relativeFrom="page">
                <wp:posOffset>1273240</wp:posOffset>
              </wp:positionV>
              <wp:extent cx="2710180" cy="314325"/>
              <wp:effectExtent b="0" l="0" r="0" t="0"/>
              <wp:wrapNone/>
              <wp:docPr id="163336377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4303675</wp:posOffset>
              </wp:positionH>
              <wp:positionV relativeFrom="page">
                <wp:posOffset>1273240</wp:posOffset>
              </wp:positionV>
              <wp:extent cx="2710180" cy="314325"/>
              <wp:effectExtent b="0" l="0" r="0" t="0"/>
              <wp:wrapNone/>
              <wp:docPr id="163336377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0180" cy="314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4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5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6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7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8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9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9"/>
    <w:tblPr>
      <w:tblStyleRowBandSize w:val="1"/>
      <w:tblStyleColBandSize w:val="1"/>
    </w:tblPr>
  </w:style>
  <w:style w:type="table" w:styleId="a0" w:customStyle="1">
    <w:basedOn w:val="TableNormal9"/>
    <w:tblPr>
      <w:tblStyleRowBandSize w:val="1"/>
      <w:tblStyleColBandSize w:val="1"/>
    </w:tblPr>
  </w:style>
  <w:style w:type="table" w:styleId="a1" w:customStyle="1">
    <w:basedOn w:val="TableNormal9"/>
    <w:tblPr>
      <w:tblStyleRowBandSize w:val="1"/>
      <w:tblStyleColBandSize w:val="1"/>
    </w:tblPr>
  </w:style>
  <w:style w:type="table" w:styleId="a2" w:customStyle="1">
    <w:basedOn w:val="TableNormal9"/>
    <w:tblPr>
      <w:tblStyleRowBandSize w:val="1"/>
      <w:tblStyleColBandSize w:val="1"/>
    </w:tblPr>
  </w:style>
  <w:style w:type="table" w:styleId="a3" w:customStyle="1">
    <w:basedOn w:val="TableNormal9"/>
    <w:tblPr>
      <w:tblStyleRowBandSize w:val="1"/>
      <w:tblStyleColBandSize w:val="1"/>
    </w:tblPr>
  </w:style>
  <w:style w:type="table" w:styleId="a4" w:customStyle="1">
    <w:basedOn w:val="TableNormal9"/>
    <w:tblPr>
      <w:tblStyleRowBandSize w:val="1"/>
      <w:tblStyleColBandSize w:val="1"/>
    </w:tblPr>
  </w:style>
  <w:style w:type="table" w:styleId="a5" w:customStyle="1">
    <w:basedOn w:val="TableNormal9"/>
    <w:tblPr>
      <w:tblStyleRowBandSize w:val="1"/>
      <w:tblStyleColBandSize w:val="1"/>
    </w:tblPr>
  </w:style>
  <w:style w:type="table" w:styleId="a6" w:customStyle="1">
    <w:basedOn w:val="TableNormal9"/>
    <w:tblPr>
      <w:tblStyleRowBandSize w:val="1"/>
      <w:tblStyleColBandSize w:val="1"/>
    </w:tblPr>
  </w:style>
  <w:style w:type="table" w:styleId="a7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8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9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a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b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c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d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e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0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1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2" w:customStyle="1">
    <w:basedOn w:val="TableNormal5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Ov6LsQyLxtZns+dlZZm725BOjQ==">CgMxLjAyDmgudTdmdGt0NTUyeThvMg5oLmVwZHEwbWh6bmJ0czgAciExQVRsdUwwQzJEZVZGYVZIQ0U5bXVOd2lUVkh2U3pkNEc=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2025-09-23T18:36:00Z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