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24A06" w14:textId="77777777" w:rsidR="00660C30" w:rsidRDefault="00000000">
      <w:pPr>
        <w:pStyle w:val="CorpoA"/>
        <w:jc w:val="right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                                                                                </w:t>
      </w:r>
    </w:p>
    <w:p w14:paraId="0CB0A216" w14:textId="131FF96A" w:rsidR="00262599" w:rsidRDefault="00000000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Niteró</w:t>
      </w:r>
      <w:r>
        <w:rPr>
          <w:rFonts w:ascii="Arial" w:hAnsi="Arial"/>
          <w:b/>
          <w:bCs/>
          <w:sz w:val="24"/>
          <w:szCs w:val="24"/>
          <w:lang w:val="es-ES_tradnl"/>
        </w:rPr>
        <w:t xml:space="preserve">i, </w:t>
      </w:r>
      <w:r w:rsidR="0048492C">
        <w:rPr>
          <w:rFonts w:ascii="Arial" w:hAnsi="Arial"/>
          <w:b/>
          <w:bCs/>
          <w:sz w:val="24"/>
          <w:szCs w:val="24"/>
          <w:lang w:val="es-ES_tradnl"/>
        </w:rPr>
        <w:t>21</w:t>
      </w:r>
      <w:r w:rsidR="00C25A1D">
        <w:rPr>
          <w:rFonts w:ascii="Arial" w:hAnsi="Arial"/>
          <w:b/>
          <w:bCs/>
          <w:sz w:val="24"/>
          <w:szCs w:val="24"/>
          <w:lang w:val="es-ES_tradnl"/>
        </w:rPr>
        <w:t xml:space="preserve"> </w:t>
      </w:r>
      <w:r>
        <w:rPr>
          <w:rFonts w:ascii="Arial" w:hAnsi="Arial"/>
          <w:b/>
          <w:bCs/>
          <w:sz w:val="24"/>
          <w:szCs w:val="24"/>
          <w:lang w:val="es-ES_tradnl"/>
        </w:rPr>
        <w:t xml:space="preserve">de </w:t>
      </w:r>
      <w:proofErr w:type="spellStart"/>
      <w:r w:rsidR="00CF687A">
        <w:rPr>
          <w:rFonts w:ascii="Arial" w:hAnsi="Arial"/>
          <w:b/>
          <w:bCs/>
          <w:sz w:val="24"/>
          <w:szCs w:val="24"/>
          <w:lang w:val="es-ES_tradnl"/>
        </w:rPr>
        <w:t>outubro</w:t>
      </w:r>
      <w:proofErr w:type="spellEnd"/>
      <w:r w:rsidR="00C25A1D">
        <w:rPr>
          <w:rFonts w:ascii="Arial" w:hAnsi="Arial"/>
          <w:b/>
          <w:bCs/>
          <w:sz w:val="24"/>
          <w:szCs w:val="24"/>
          <w:lang w:val="es-ES_tradnl"/>
        </w:rPr>
        <w:t xml:space="preserve"> </w:t>
      </w:r>
      <w:r>
        <w:rPr>
          <w:rFonts w:ascii="Arial" w:hAnsi="Arial"/>
          <w:b/>
          <w:bCs/>
          <w:sz w:val="24"/>
          <w:szCs w:val="24"/>
        </w:rPr>
        <w:t>de 2025.</w:t>
      </w:r>
    </w:p>
    <w:p w14:paraId="6F46CF33" w14:textId="77777777" w:rsidR="00262599" w:rsidRDefault="00262599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6602C4CD" w14:textId="77777777" w:rsidR="008D229A" w:rsidRDefault="008D229A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0A87D3FD" w14:textId="77777777" w:rsidR="00262599" w:rsidRDefault="00262599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17DC3926" w14:textId="2930D2E9" w:rsidR="00262599" w:rsidRDefault="00000000">
      <w:pPr>
        <w:pStyle w:val="CorpoA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MENSAGEM EXECUTIVA Nº </w:t>
      </w:r>
      <w:r w:rsidR="0048492C">
        <w:rPr>
          <w:rFonts w:ascii="Arial" w:hAnsi="Arial"/>
          <w:b/>
          <w:bCs/>
          <w:sz w:val="24"/>
          <w:szCs w:val="24"/>
        </w:rPr>
        <w:t>29</w:t>
      </w:r>
      <w:r>
        <w:rPr>
          <w:rFonts w:ascii="Arial" w:hAnsi="Arial"/>
          <w:b/>
          <w:bCs/>
          <w:sz w:val="24"/>
          <w:szCs w:val="24"/>
        </w:rPr>
        <w:t>/2025</w:t>
      </w:r>
      <w:r w:rsidR="00F25CC8">
        <w:rPr>
          <w:rFonts w:ascii="Arial" w:hAnsi="Arial"/>
          <w:b/>
          <w:bCs/>
          <w:sz w:val="24"/>
          <w:szCs w:val="24"/>
        </w:rPr>
        <w:t>.</w:t>
      </w:r>
    </w:p>
    <w:p w14:paraId="76892F08" w14:textId="77777777" w:rsidR="00262599" w:rsidRDefault="00262599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p w14:paraId="41DE6331" w14:textId="77777777" w:rsidR="008D229A" w:rsidRDefault="008D229A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p w14:paraId="2E23AFCE" w14:textId="77777777" w:rsidR="00CE3D80" w:rsidRDefault="00CE3D80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p w14:paraId="07DE4A02" w14:textId="77777777" w:rsidR="00262599" w:rsidRDefault="00000000">
      <w:pPr>
        <w:pStyle w:val="CorpoA"/>
        <w:widowControl w:val="0"/>
        <w:suppressAutoHyphens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>Senhor Presidente,</w:t>
      </w:r>
      <w:r>
        <w:rPr>
          <w:rFonts w:ascii="Arial" w:hAnsi="Arial"/>
          <w:sz w:val="24"/>
          <w:szCs w:val="24"/>
        </w:rPr>
        <w:tab/>
      </w:r>
    </w:p>
    <w:p w14:paraId="365AB166" w14:textId="2AB4AE48" w:rsidR="00CF687A" w:rsidRPr="00CF687A" w:rsidRDefault="00000000" w:rsidP="00CF687A">
      <w:pPr>
        <w:pStyle w:val="CorpoA"/>
        <w:widowControl w:val="0"/>
        <w:suppressAutoHyphens/>
        <w:ind w:firstLine="708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sz w:val="24"/>
          <w:szCs w:val="24"/>
        </w:rPr>
        <w:t>Cumprimentando-o, cordialmente, tenho a honra de me dirigir a Vossa Excelência com o intuito de submeter à apreciação dos ilustres Pares dessa Egrégia Casa Legislativa</w:t>
      </w:r>
      <w:r w:rsidR="00CE3D80">
        <w:rPr>
          <w:rFonts w:ascii="Arial" w:hAnsi="Arial"/>
          <w:sz w:val="24"/>
          <w:szCs w:val="24"/>
        </w:rPr>
        <w:t xml:space="preserve">, </w:t>
      </w:r>
      <w:r w:rsidR="00CE3D80" w:rsidRPr="00CE3D80">
        <w:rPr>
          <w:rFonts w:ascii="Arial" w:hAnsi="Arial"/>
          <w:b/>
          <w:bCs/>
          <w:color w:val="EE0000"/>
          <w:sz w:val="24"/>
          <w:szCs w:val="24"/>
        </w:rPr>
        <w:t>em caráter de urgência</w:t>
      </w:r>
      <w:r w:rsidR="00CE3D80">
        <w:rPr>
          <w:rFonts w:ascii="Arial" w:hAnsi="Arial"/>
          <w:sz w:val="24"/>
          <w:szCs w:val="24"/>
        </w:rPr>
        <w:t>,</w:t>
      </w:r>
      <w:r>
        <w:rPr>
          <w:rFonts w:ascii="Arial" w:hAnsi="Arial"/>
          <w:sz w:val="24"/>
          <w:szCs w:val="24"/>
        </w:rPr>
        <w:t xml:space="preserve"> o projeto de lei </w:t>
      </w:r>
      <w:r w:rsidR="00CF687A" w:rsidRPr="00CF687A">
        <w:rPr>
          <w:rFonts w:ascii="Arial" w:hAnsi="Arial"/>
          <w:b/>
          <w:bCs/>
          <w:sz w:val="24"/>
          <w:szCs w:val="24"/>
        </w:rPr>
        <w:t>que institui uma nova política de incentivo ao Carnaval da cidade de Niterói, modernizando e aprimorando a Lei Municipal nº 3.821, de 19 de outubro de 2023, com o objetivo de garantir maior eficiência, transparência, segurança jurídica e alcance social às ações do Poder Público voltadas ao fomento da nossa maior manifestação popular.</w:t>
      </w:r>
    </w:p>
    <w:p w14:paraId="4E5EC384" w14:textId="179C3561" w:rsidR="00CF687A" w:rsidRPr="00CF687A" w:rsidRDefault="00CF687A" w:rsidP="00CF687A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O Carnaval é parte essencial da identidade cultural brasileira e, em Niterói, constitui-se como uma tradição profundamente enraizada no cotidiano da cidade, reunindo escolas de samba, blocos, clubes e festas de bairro que mobilizam milhares de pessoas, geram empregos diretos e indiretos, aumentam o fluxo turístico, fomentam a economia criativa e fortalecem o sentimento de pertencimento comunitário. Por isso, é dever do Poder Executivo apoiar e estruturar políticas públicas que assegurem a continuidade e a valorização dessas manifestações.</w:t>
      </w:r>
    </w:p>
    <w:p w14:paraId="719FD266" w14:textId="6676C142" w:rsidR="00CF687A" w:rsidRPr="00CF687A" w:rsidRDefault="00CF687A" w:rsidP="00CF687A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 xml:space="preserve">A presente proposta surge da necessidade de atualizar e aperfeiçoar o marco legal vigente, alinhando-o às normas federais e municipais que regem as parcerias com Organizações da Sociedade Civil, em especial a Lei Federal nº 13.019/2014 e o Decreto Municipal nº 13.996/2021, ao mesmo tempo em que amplia o alcance das </w:t>
      </w:r>
      <w:r w:rsidRPr="00CF687A">
        <w:rPr>
          <w:rFonts w:ascii="Arial" w:hAnsi="Arial"/>
          <w:sz w:val="24"/>
          <w:szCs w:val="24"/>
        </w:rPr>
        <w:lastRenderedPageBreak/>
        <w:t>políticas culturais e garante maior segurança jurídica na concessão das subvenções públicas.</w:t>
      </w:r>
    </w:p>
    <w:p w14:paraId="1B57760A" w14:textId="74E0E77A" w:rsidR="00CF687A" w:rsidRPr="00CF687A" w:rsidRDefault="00CF687A" w:rsidP="00CF687A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Entre os principais avanços propostos, destacam-se:</w:t>
      </w:r>
    </w:p>
    <w:p w14:paraId="1E4A7435" w14:textId="1D2B9BE6" w:rsidR="00CF687A" w:rsidRPr="00CF687A" w:rsidRDefault="00CF687A" w:rsidP="00CF687A">
      <w:pPr>
        <w:pStyle w:val="CorpoA"/>
        <w:widowControl w:val="0"/>
        <w:numPr>
          <w:ilvl w:val="0"/>
          <w:numId w:val="2"/>
        </w:numPr>
        <w:suppressAutoHyphens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Clareza e segurança jurídica na aplicação dos recursos públicos, com regras precisas para a celebração de parcerias e repasse de subvenções, em conformidade com os princípios constitucionais da legalidade, impessoalidade, moralidade, publicidade e eficiência.</w:t>
      </w:r>
    </w:p>
    <w:p w14:paraId="52974BE0" w14:textId="65DE3900" w:rsidR="00CF687A" w:rsidRPr="00CF687A" w:rsidRDefault="00CF687A" w:rsidP="00CF687A">
      <w:pPr>
        <w:pStyle w:val="CorpoA"/>
        <w:widowControl w:val="0"/>
        <w:numPr>
          <w:ilvl w:val="0"/>
          <w:numId w:val="2"/>
        </w:numPr>
        <w:suppressAutoHyphens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Definição objetiva dos beneficiários, escolas de samba, blocos, carnavais de bairro e clubes, permitindo identificar com precisão as entidades aptas ao apoio público e fortalecendo a transparência e a impessoalidade na aplicação dos recursos.</w:t>
      </w:r>
    </w:p>
    <w:p w14:paraId="5F19905C" w14:textId="4A6E0BA7" w:rsidR="00CF687A" w:rsidRPr="00CF687A" w:rsidRDefault="00CF687A" w:rsidP="00CF687A">
      <w:pPr>
        <w:pStyle w:val="CorpoA"/>
        <w:widowControl w:val="0"/>
        <w:numPr>
          <w:ilvl w:val="0"/>
          <w:numId w:val="2"/>
        </w:numPr>
        <w:suppressAutoHyphens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Critérios técnicos claros e democráticos para a seleção e concessão do incentivo, priorizando entidades com atuação comprovada, relevância cultural e impacto social, e prevendo pontuação técnica e parâmetros objetivos para a análise de propostas.</w:t>
      </w:r>
    </w:p>
    <w:p w14:paraId="61D9A8B3" w14:textId="23AAAB9B" w:rsidR="00CF687A" w:rsidRPr="00CF687A" w:rsidRDefault="00CF687A" w:rsidP="00CF687A">
      <w:pPr>
        <w:pStyle w:val="CorpoA"/>
        <w:widowControl w:val="0"/>
        <w:numPr>
          <w:ilvl w:val="0"/>
          <w:numId w:val="2"/>
        </w:numPr>
        <w:suppressAutoHyphens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Aprimoramento dos mecanismos de prestação de contas e responsabilização, com dispositivos mais detalhados e rigorosos de controle, fiscalização e sanção, garantindo o uso adequado dos recursos públicos e a correta execução das atividades pactuadas.</w:t>
      </w:r>
    </w:p>
    <w:p w14:paraId="3D2E4ABB" w14:textId="1DB0EDB3" w:rsidR="00CF687A" w:rsidRPr="00CF687A" w:rsidRDefault="00CF687A" w:rsidP="00CF687A">
      <w:pPr>
        <w:pStyle w:val="CorpoA"/>
        <w:widowControl w:val="0"/>
        <w:numPr>
          <w:ilvl w:val="0"/>
          <w:numId w:val="2"/>
        </w:numPr>
        <w:suppressAutoHyphens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Oferta de oficinas, cursos e capacitações gratuitas às entidades interessadas, promovendo a profissionalização do setor cultural e o fortalecimento de sua gestão e sustentabilidade.</w:t>
      </w:r>
    </w:p>
    <w:p w14:paraId="72FE3E4B" w14:textId="3898DB1D" w:rsidR="00CF687A" w:rsidRPr="00CF687A" w:rsidRDefault="00CF687A" w:rsidP="00CF687A">
      <w:pPr>
        <w:pStyle w:val="CorpoA"/>
        <w:widowControl w:val="0"/>
        <w:numPr>
          <w:ilvl w:val="0"/>
          <w:numId w:val="2"/>
        </w:numPr>
        <w:suppressAutoHyphens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Previsão de contrapartidas socioculturais obrigatórias, por meio de atividades educativas gratuitas ou ensaios abertos, reforçando o papel social da cultura e sua integração com políticas públicas de educação, cidadania e inclusão.</w:t>
      </w:r>
    </w:p>
    <w:p w14:paraId="49483C94" w14:textId="28FFE76F" w:rsidR="00CF687A" w:rsidRPr="00CF687A" w:rsidRDefault="00CF687A" w:rsidP="00CF687A">
      <w:pPr>
        <w:pStyle w:val="CorpoA"/>
        <w:widowControl w:val="0"/>
        <w:numPr>
          <w:ilvl w:val="0"/>
          <w:numId w:val="2"/>
        </w:numPr>
        <w:suppressAutoHyphens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Criação do Circuito dos Carnavais de Bairro e Blocos, política pública inovadora que reconhece e valoriza a diversidade cultural dos territórios e estimula a realização de festas populares descentralizadas, ampliando o alcance do Carnaval e promovendo a democratização do acesso à cultura.</w:t>
      </w:r>
    </w:p>
    <w:p w14:paraId="4CC80906" w14:textId="7C5E4837" w:rsidR="00CF687A" w:rsidRPr="00CF687A" w:rsidRDefault="00CF687A" w:rsidP="00CF687A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lastRenderedPageBreak/>
        <w:t>Essas medidas fortalecem a função social e econômica do Carnaval e asseguram que os recursos públicos sejam aplicados com planejamento, responsabilidade fiscal e retorno coletivo, beneficiando não apenas as agremiações e coletivos culturais, mas também toda a população niteroiense.</w:t>
      </w:r>
    </w:p>
    <w:p w14:paraId="26A2751D" w14:textId="48055D57" w:rsidR="00CF687A" w:rsidRPr="00CF687A" w:rsidRDefault="00CF687A" w:rsidP="00CF687A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Ao modernizar a legislação, o Município reafirma seu compromisso com a democracia cultural, a participação social e o desenvolvimento econômico sustentável, reconhecendo o Carnaval como um instrumento de inclusão, cidadania e valorização da identidade local.</w:t>
      </w:r>
    </w:p>
    <w:p w14:paraId="0B961F81" w14:textId="6F1A59A4" w:rsidR="00CF687A" w:rsidRPr="00CF687A" w:rsidRDefault="00CF687A" w:rsidP="00CF687A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Diante do exposto, submeto o presente Projeto de Lei à apreciação desta Casa Legislativa</w:t>
      </w:r>
      <w:r w:rsidR="00CE3D80">
        <w:rPr>
          <w:rFonts w:ascii="Arial" w:hAnsi="Arial"/>
          <w:sz w:val="24"/>
          <w:szCs w:val="24"/>
        </w:rPr>
        <w:t xml:space="preserve"> </w:t>
      </w:r>
      <w:r w:rsidR="00CE3D80" w:rsidRPr="00CE3D80">
        <w:rPr>
          <w:rFonts w:ascii="Arial" w:hAnsi="Arial"/>
          <w:b/>
          <w:bCs/>
          <w:color w:val="EE0000"/>
          <w:sz w:val="24"/>
          <w:szCs w:val="24"/>
        </w:rPr>
        <w:t>em caráter de urgência</w:t>
      </w:r>
      <w:r w:rsidRPr="00CF687A">
        <w:rPr>
          <w:rFonts w:ascii="Arial" w:hAnsi="Arial"/>
          <w:sz w:val="24"/>
          <w:szCs w:val="24"/>
        </w:rPr>
        <w:t>,</w:t>
      </w:r>
      <w:r w:rsidR="00CE3D80">
        <w:rPr>
          <w:rFonts w:ascii="Arial" w:hAnsi="Arial"/>
          <w:sz w:val="24"/>
          <w:szCs w:val="24"/>
        </w:rPr>
        <w:t xml:space="preserve"> na forma do art. 51 da Lei Orgânica do Município de Niterói,</w:t>
      </w:r>
      <w:r w:rsidRPr="00CF687A">
        <w:rPr>
          <w:rFonts w:ascii="Arial" w:hAnsi="Arial"/>
          <w:sz w:val="24"/>
          <w:szCs w:val="24"/>
        </w:rPr>
        <w:t xml:space="preserve"> convicto de que sua aprovação representará um passo decisivo para o fortalecimento da cultura popular, do turismo, da economia criativa e da coesão social em nossa cidade. Conto com o apoio dos nobres vereadores para que possamos, juntos, garantir um Carnaval cada vez mais democrático, seguro, organizado e representativo da alma de Niterói.</w:t>
      </w:r>
    </w:p>
    <w:p w14:paraId="77C8E225" w14:textId="7E55934D" w:rsidR="00262599" w:rsidRPr="00CF687A" w:rsidRDefault="00A2658C" w:rsidP="00A2658C">
      <w:pPr>
        <w:pStyle w:val="CorpoA"/>
        <w:widowControl w:val="0"/>
        <w:suppressAutoHyphens/>
        <w:ind w:firstLine="708"/>
        <w:rPr>
          <w:rFonts w:ascii="Arial" w:eastAsia="Arial" w:hAnsi="Arial" w:cs="Arial"/>
          <w:kern w:val="2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Reitero a Vossa Excelência os meus votos de profundo respeito e admiração a essa Egrégia Câmara Municipal e solicito a aprovação deste Projeto de Lei</w:t>
      </w:r>
    </w:p>
    <w:p w14:paraId="70989AA0" w14:textId="77777777" w:rsidR="00262599" w:rsidRDefault="00262599">
      <w:pPr>
        <w:pStyle w:val="CorpoA"/>
        <w:widowControl w:val="0"/>
        <w:suppressAutoHyphens/>
        <w:ind w:firstLine="708"/>
        <w:rPr>
          <w:rFonts w:ascii="Arial" w:eastAsia="Arial" w:hAnsi="Arial" w:cs="Arial"/>
          <w:b/>
          <w:bCs/>
          <w:kern w:val="2"/>
          <w:sz w:val="24"/>
          <w:szCs w:val="24"/>
        </w:rPr>
      </w:pPr>
    </w:p>
    <w:p w14:paraId="0369B9A8" w14:textId="77777777" w:rsidR="00287717" w:rsidRDefault="00287717">
      <w:pPr>
        <w:pStyle w:val="CorpoA"/>
        <w:widowControl w:val="0"/>
        <w:suppressAutoHyphens/>
        <w:ind w:firstLine="708"/>
        <w:rPr>
          <w:rFonts w:ascii="Arial" w:eastAsia="Arial" w:hAnsi="Arial" w:cs="Arial"/>
          <w:b/>
          <w:bCs/>
          <w:kern w:val="2"/>
          <w:sz w:val="24"/>
          <w:szCs w:val="24"/>
        </w:rPr>
      </w:pPr>
    </w:p>
    <w:p w14:paraId="56DA2600" w14:textId="77777777" w:rsidR="00287717" w:rsidRDefault="00287717">
      <w:pPr>
        <w:pStyle w:val="CorpoA"/>
        <w:widowControl w:val="0"/>
        <w:suppressAutoHyphens/>
        <w:ind w:firstLine="708"/>
        <w:rPr>
          <w:rFonts w:ascii="Arial" w:eastAsia="Arial" w:hAnsi="Arial" w:cs="Arial"/>
          <w:b/>
          <w:bCs/>
          <w:kern w:val="2"/>
          <w:sz w:val="24"/>
          <w:szCs w:val="24"/>
        </w:rPr>
      </w:pPr>
    </w:p>
    <w:p w14:paraId="2970EFA0" w14:textId="77777777" w:rsidR="00262599" w:rsidRDefault="00000000">
      <w:pPr>
        <w:pStyle w:val="CorpoA"/>
        <w:spacing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Rodrigo Neves</w:t>
      </w:r>
    </w:p>
    <w:p w14:paraId="6CA59E92" w14:textId="77777777" w:rsidR="00262599" w:rsidRDefault="00000000">
      <w:pPr>
        <w:pStyle w:val="CorpoA"/>
        <w:spacing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Prefeito</w:t>
      </w:r>
      <w:r>
        <w:rPr>
          <w:rFonts w:ascii="Arial Unicode MS" w:hAnsi="Arial Unicode MS"/>
          <w:sz w:val="24"/>
          <w:szCs w:val="24"/>
        </w:rPr>
        <w:br w:type="page"/>
      </w:r>
    </w:p>
    <w:p w14:paraId="28C131E3" w14:textId="77777777" w:rsidR="00262599" w:rsidRDefault="00000000">
      <w:pPr>
        <w:pStyle w:val="CorpoA"/>
        <w:shd w:val="clear" w:color="auto" w:fill="FFFFFF"/>
        <w:spacing w:after="0"/>
        <w:rPr>
          <w:rFonts w:ascii="Arial" w:eastAsia="Arial" w:hAnsi="Arial" w:cs="Arial"/>
          <w:b/>
          <w:bCs/>
          <w:sz w:val="24"/>
          <w:szCs w:val="24"/>
        </w:rPr>
      </w:pPr>
      <w:bookmarkStart w:id="0" w:name="_Hlk182828697"/>
      <w:r>
        <w:rPr>
          <w:rFonts w:ascii="Arial" w:hAnsi="Arial"/>
          <w:b/>
          <w:bCs/>
          <w:sz w:val="24"/>
          <w:szCs w:val="24"/>
          <w:lang w:val="de-DE"/>
        </w:rPr>
        <w:lastRenderedPageBreak/>
        <w:t>EXCELENT</w:t>
      </w:r>
      <w:r>
        <w:rPr>
          <w:rFonts w:ascii="Arial" w:hAnsi="Arial"/>
          <w:b/>
          <w:bCs/>
          <w:sz w:val="24"/>
          <w:szCs w:val="24"/>
        </w:rPr>
        <w:t>Í</w:t>
      </w:r>
      <w:r>
        <w:rPr>
          <w:rFonts w:ascii="Arial" w:hAnsi="Arial"/>
          <w:b/>
          <w:bCs/>
          <w:sz w:val="24"/>
          <w:szCs w:val="24"/>
          <w:lang w:val="es-ES_tradnl"/>
        </w:rPr>
        <w:t>SSIMO SENHOR VEREADOR MILTON CARLOS LOPES</w:t>
      </w:r>
    </w:p>
    <w:p w14:paraId="16A3AC35" w14:textId="77777777" w:rsidR="00262599" w:rsidRDefault="00000000">
      <w:pPr>
        <w:pStyle w:val="CorpoA"/>
        <w:shd w:val="clear" w:color="auto" w:fill="FFFFFF"/>
        <w:spacing w:after="0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val="es-ES_tradnl"/>
        </w:rPr>
        <w:t>PRESIDENTE DA C</w:t>
      </w:r>
      <w:r>
        <w:rPr>
          <w:rFonts w:ascii="Arial" w:hAnsi="Arial"/>
          <w:b/>
          <w:bCs/>
          <w:sz w:val="24"/>
          <w:szCs w:val="24"/>
        </w:rPr>
        <w:t>Â</w:t>
      </w:r>
      <w:r>
        <w:rPr>
          <w:rFonts w:ascii="Arial" w:hAnsi="Arial"/>
          <w:b/>
          <w:bCs/>
          <w:sz w:val="24"/>
          <w:szCs w:val="24"/>
          <w:lang w:val="es-ES_tradnl"/>
        </w:rPr>
        <w:t>MARA MUNICIPAL DE NITER</w:t>
      </w:r>
      <w:r>
        <w:rPr>
          <w:rFonts w:ascii="Arial" w:hAnsi="Arial"/>
          <w:b/>
          <w:bCs/>
          <w:sz w:val="24"/>
          <w:szCs w:val="24"/>
        </w:rPr>
        <w:t>ÓI</w:t>
      </w:r>
      <w:bookmarkEnd w:id="0"/>
    </w:p>
    <w:p w14:paraId="20121F75" w14:textId="77777777" w:rsidR="00262599" w:rsidRDefault="00262599">
      <w:pPr>
        <w:pStyle w:val="CorpoAA"/>
        <w:widowControl w:val="0"/>
        <w:ind w:left="108" w:hanging="108"/>
        <w:rPr>
          <w:rFonts w:ascii="Arial" w:eastAsia="Arial" w:hAnsi="Arial" w:cs="Arial"/>
          <w:b/>
          <w:bCs/>
          <w:u w:color="FF0000"/>
        </w:rPr>
      </w:pPr>
    </w:p>
    <w:p w14:paraId="724D99CD" w14:textId="77777777" w:rsidR="00262599" w:rsidRDefault="00262599">
      <w:pPr>
        <w:pStyle w:val="CorpoAA"/>
        <w:widowControl w:val="0"/>
        <w:ind w:left="108" w:hanging="108"/>
        <w:rPr>
          <w:rFonts w:ascii="Arial" w:eastAsia="Arial" w:hAnsi="Arial" w:cs="Arial"/>
          <w:b/>
          <w:bCs/>
          <w:u w:color="FF0000"/>
        </w:rPr>
      </w:pPr>
    </w:p>
    <w:p w14:paraId="2612468F" w14:textId="77777777" w:rsidR="00262599" w:rsidRDefault="00000000">
      <w:pPr>
        <w:pStyle w:val="CorpoAA"/>
        <w:widowControl w:val="0"/>
        <w:ind w:left="108" w:hanging="108"/>
        <w:jc w:val="center"/>
        <w:rPr>
          <w:rFonts w:ascii="Arial" w:eastAsia="Arial" w:hAnsi="Arial" w:cs="Arial"/>
        </w:rPr>
      </w:pPr>
      <w:r>
        <w:rPr>
          <w:rFonts w:ascii="Arial" w:hAnsi="Arial"/>
        </w:rPr>
        <w:t>PROJETO DE LEI  Nº        ,  DE</w:t>
      </w:r>
      <w:bookmarkStart w:id="1" w:name="_Hlk182828902"/>
      <w:r>
        <w:rPr>
          <w:rFonts w:ascii="Arial" w:hAnsi="Arial"/>
        </w:rPr>
        <w:t xml:space="preserve">            </w:t>
      </w:r>
      <w:bookmarkEnd w:id="1"/>
      <w:r>
        <w:rPr>
          <w:rFonts w:ascii="Arial" w:hAnsi="Arial"/>
        </w:rPr>
        <w:t>DE             DE 2025</w:t>
      </w:r>
    </w:p>
    <w:p w14:paraId="2629A3CF" w14:textId="77777777" w:rsidR="00262599" w:rsidRDefault="00262599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253C6E8F" w14:textId="77777777" w:rsidR="0000695B" w:rsidRDefault="0000695B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67FC160D" w14:textId="2CE1E3E4" w:rsidR="00262599" w:rsidRDefault="00CF687A" w:rsidP="00CF687A">
      <w:pPr>
        <w:pStyle w:val="CorpoAAA"/>
        <w:widowControl w:val="0"/>
        <w:ind w:left="3969"/>
        <w:rPr>
          <w:rFonts w:ascii="Arial" w:eastAsia="Arial" w:hAnsi="Arial" w:cs="Arial"/>
          <w:sz w:val="24"/>
          <w:szCs w:val="24"/>
        </w:rPr>
      </w:pPr>
      <w:r w:rsidRPr="00CF687A">
        <w:rPr>
          <w:rFonts w:ascii="Arial" w:hAnsi="Arial"/>
          <w:b/>
          <w:bCs/>
          <w:sz w:val="24"/>
          <w:szCs w:val="24"/>
        </w:rPr>
        <w:t>Dispõe sobre o incentivo financeiro ao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CF687A">
        <w:rPr>
          <w:rFonts w:ascii="Arial" w:hAnsi="Arial"/>
          <w:b/>
          <w:bCs/>
          <w:sz w:val="24"/>
          <w:szCs w:val="24"/>
        </w:rPr>
        <w:t>Carnaval da cidade, define critérios,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CF687A">
        <w:rPr>
          <w:rFonts w:ascii="Arial" w:hAnsi="Arial"/>
          <w:b/>
          <w:bCs/>
          <w:sz w:val="24"/>
          <w:szCs w:val="24"/>
        </w:rPr>
        <w:t>instrumentos jurídicos, regras de repasse e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CF687A">
        <w:rPr>
          <w:rFonts w:ascii="Arial" w:hAnsi="Arial"/>
          <w:b/>
          <w:bCs/>
          <w:sz w:val="24"/>
          <w:szCs w:val="24"/>
        </w:rPr>
        <w:t>prestação de contas das subvenções públicas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CF687A">
        <w:rPr>
          <w:rFonts w:ascii="Arial" w:hAnsi="Arial"/>
          <w:b/>
          <w:bCs/>
          <w:sz w:val="24"/>
          <w:szCs w:val="24"/>
        </w:rPr>
        <w:t>concedidas às escolas de samba, blocos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CF687A">
        <w:rPr>
          <w:rFonts w:ascii="Arial" w:hAnsi="Arial"/>
          <w:b/>
          <w:bCs/>
          <w:sz w:val="24"/>
          <w:szCs w:val="24"/>
        </w:rPr>
        <w:t>carnavalescos e carnavais de bairro e clubes do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CF687A">
        <w:rPr>
          <w:rFonts w:ascii="Arial" w:hAnsi="Arial"/>
          <w:b/>
          <w:bCs/>
          <w:sz w:val="24"/>
          <w:szCs w:val="24"/>
        </w:rPr>
        <w:t>Município de Niterói, e dá outras providências.</w:t>
      </w:r>
    </w:p>
    <w:p w14:paraId="787B03EE" w14:textId="77777777" w:rsidR="0000695B" w:rsidRDefault="0000695B">
      <w:pPr>
        <w:pStyle w:val="CorpoAAA"/>
        <w:widowControl w:val="0"/>
        <w:spacing w:after="0"/>
        <w:ind w:left="3969"/>
        <w:rPr>
          <w:rFonts w:ascii="Arial" w:eastAsia="Arial" w:hAnsi="Arial" w:cs="Arial"/>
          <w:sz w:val="24"/>
          <w:szCs w:val="24"/>
        </w:rPr>
      </w:pPr>
    </w:p>
    <w:p w14:paraId="4CE6DF77" w14:textId="77777777" w:rsidR="00262599" w:rsidRDefault="00000000">
      <w:pPr>
        <w:pStyle w:val="CorpoA"/>
        <w:spacing w:line="312" w:lineRule="auto"/>
        <w:rPr>
          <w:rFonts w:ascii="Arial" w:hAnsi="Arial"/>
          <w:sz w:val="24"/>
          <w:szCs w:val="24"/>
          <w:lang w:val="en-US"/>
        </w:rPr>
      </w:pPr>
      <w:bookmarkStart w:id="2" w:name="a15"/>
      <w:r>
        <w:rPr>
          <w:rFonts w:ascii="Arial" w:hAnsi="Arial"/>
          <w:sz w:val="24"/>
          <w:szCs w:val="24"/>
        </w:rPr>
        <w:t>A CÂ</w:t>
      </w:r>
      <w:r>
        <w:rPr>
          <w:rFonts w:ascii="Arial" w:hAnsi="Arial"/>
          <w:sz w:val="24"/>
          <w:szCs w:val="24"/>
          <w:lang w:val="es-ES_tradnl"/>
        </w:rPr>
        <w:t>MARA MUNICIPAL DE NITER</w:t>
      </w:r>
      <w:r>
        <w:rPr>
          <w:rFonts w:ascii="Arial" w:hAnsi="Arial"/>
          <w:sz w:val="24"/>
          <w:szCs w:val="24"/>
        </w:rPr>
        <w:t>Ó</w:t>
      </w:r>
      <w:r>
        <w:rPr>
          <w:rFonts w:ascii="Arial" w:hAnsi="Arial"/>
          <w:sz w:val="24"/>
          <w:szCs w:val="24"/>
          <w:lang w:val="en-US"/>
        </w:rPr>
        <w:t>I DECRETA E EU SANCIONO A SEGUINTE LEI:</w:t>
      </w:r>
      <w:bookmarkEnd w:id="2"/>
    </w:p>
    <w:p w14:paraId="5D12DA89" w14:textId="77777777" w:rsidR="0000695B" w:rsidRDefault="0000695B">
      <w:pPr>
        <w:pStyle w:val="CorpoA"/>
        <w:spacing w:line="312" w:lineRule="auto"/>
        <w:rPr>
          <w:rFonts w:ascii="Arial" w:eastAsia="Arial" w:hAnsi="Arial" w:cs="Arial"/>
          <w:sz w:val="24"/>
          <w:szCs w:val="24"/>
        </w:rPr>
      </w:pPr>
    </w:p>
    <w:p w14:paraId="4BAD894F" w14:textId="349F91E2" w:rsidR="00CF687A" w:rsidRPr="00CF687A" w:rsidRDefault="00353938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353938">
        <w:rPr>
          <w:rFonts w:ascii="Arial" w:hAnsi="Arial"/>
          <w:sz w:val="24"/>
          <w:szCs w:val="24"/>
        </w:rPr>
        <w:t>Art. 1º</w:t>
      </w:r>
      <w:r w:rsidR="00CF687A">
        <w:rPr>
          <w:rFonts w:ascii="Arial" w:hAnsi="Arial"/>
          <w:sz w:val="24"/>
          <w:szCs w:val="24"/>
        </w:rPr>
        <w:t xml:space="preserve"> </w:t>
      </w:r>
      <w:r w:rsidR="00CF687A" w:rsidRPr="00CF687A">
        <w:rPr>
          <w:rFonts w:ascii="Arial" w:hAnsi="Arial"/>
          <w:sz w:val="24"/>
          <w:szCs w:val="24"/>
        </w:rPr>
        <w:t>Fica instituído o incentivo financeiro ao Carnaval da cidade de Niterói, por</w:t>
      </w:r>
      <w:r w:rsidR="00CF687A">
        <w:rPr>
          <w:rFonts w:ascii="Arial" w:hAnsi="Arial"/>
          <w:sz w:val="24"/>
          <w:szCs w:val="24"/>
        </w:rPr>
        <w:t xml:space="preserve"> </w:t>
      </w:r>
      <w:r w:rsidR="00CF687A" w:rsidRPr="00CF687A">
        <w:rPr>
          <w:rFonts w:ascii="Arial" w:hAnsi="Arial"/>
          <w:sz w:val="24"/>
          <w:szCs w:val="24"/>
        </w:rPr>
        <w:t>meio da concessão de subvenções públicas às escolas de samba, blocos, clubes e</w:t>
      </w:r>
      <w:r w:rsidR="00CF687A">
        <w:rPr>
          <w:rFonts w:ascii="Arial" w:hAnsi="Arial"/>
          <w:sz w:val="24"/>
          <w:szCs w:val="24"/>
        </w:rPr>
        <w:t xml:space="preserve"> </w:t>
      </w:r>
      <w:r w:rsidR="00CF687A" w:rsidRPr="00CF687A">
        <w:rPr>
          <w:rFonts w:ascii="Arial" w:hAnsi="Arial"/>
          <w:sz w:val="24"/>
          <w:szCs w:val="24"/>
        </w:rPr>
        <w:t>entidades responsáveis por carnavais de bairro</w:t>
      </w:r>
    </w:p>
    <w:p w14:paraId="068FBE07" w14:textId="0CCF9ADF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§1º Para aplicação desta lei deverão ser observadas as suas disposições e as normas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previstas na Lei Federal nº 13.019/2014, no Decreto Municipal nº 13.996/2021, que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regulamenta a matéria no âmbito do Poder Executivo municipal e suas alterações.</w:t>
      </w:r>
    </w:p>
    <w:p w14:paraId="2F11567C" w14:textId="77777777" w:rsid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§2º Por ato do Poder Executivo, a presente lei deverá ser regulamentada.</w:t>
      </w:r>
      <w:r>
        <w:rPr>
          <w:rFonts w:ascii="Arial" w:hAnsi="Arial"/>
          <w:sz w:val="24"/>
          <w:szCs w:val="24"/>
        </w:rPr>
        <w:t xml:space="preserve"> </w:t>
      </w:r>
    </w:p>
    <w:p w14:paraId="0426E30A" w14:textId="342FF687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Art. 2º Para os fins desta Lei, considera-se:</w:t>
      </w:r>
    </w:p>
    <w:p w14:paraId="77BC6676" w14:textId="77777777" w:rsid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 – Escola de Samba: agremiação carnavalesca registrada como pessoa jurídica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de direito privado, sem fins lucrativos, com objetivo da prática, difusão e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preservação do samba e da cultura carnavalesca, através da organização de desfiles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competitivos; com sede no Município de Niterói, com histórico de participação em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desfiles carnavalescos e filiada a alguma liga ou federação.</w:t>
      </w:r>
    </w:p>
    <w:p w14:paraId="4AB0B778" w14:textId="2A65F9C8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lastRenderedPageBreak/>
        <w:t>II – Bloco Carnavalesco: pessoa jurídica de direito privado, sem fins lucrativos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que se organiza para realizar desfiles e cortejos em espaço público durante o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período carnavalesco no Município, normalmente sem caráter competitivo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estruturado;</w:t>
      </w:r>
    </w:p>
    <w:p w14:paraId="7465D41B" w14:textId="102D3C03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III – Carnaval de Bairro: conjunto de ações carnavalescas realizadas por pessoa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jurídica de direito privado, sem fins lucrativos, em regiões periféricas ou bairros de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Niterói, podem incluir desfiles, concursos de fantasias, bailes populares com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participação de artistas e coletivos locais;</w:t>
      </w:r>
    </w:p>
    <w:p w14:paraId="37AB4A63" w14:textId="3584C0F4" w:rsid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IV – Clubes: entidade sem fins lucrativos, de caráter recreativo, esportivo, cultural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e social, regularmente estabelecida no Município de Niterói, que desenvolva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atividades de convivência comunitária e promova eventos culturais e festivos,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inclusive carnavalescos abertos ao público.</w:t>
      </w:r>
    </w:p>
    <w:p w14:paraId="05D61C1B" w14:textId="77777777" w:rsid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</w:p>
    <w:p w14:paraId="76131AED" w14:textId="7BAA2235" w:rsidR="00CF687A" w:rsidRDefault="00CF687A" w:rsidP="00CF687A">
      <w:pPr>
        <w:pStyle w:val="CorpoA"/>
        <w:spacing w:before="240" w:line="312" w:lineRule="auto"/>
        <w:jc w:val="center"/>
        <w:rPr>
          <w:rFonts w:ascii="Arial" w:hAnsi="Arial"/>
          <w:b/>
          <w:bCs/>
          <w:sz w:val="24"/>
          <w:szCs w:val="24"/>
        </w:rPr>
      </w:pPr>
      <w:r w:rsidRPr="00CF687A">
        <w:rPr>
          <w:rFonts w:ascii="Arial" w:hAnsi="Arial"/>
          <w:b/>
          <w:bCs/>
          <w:sz w:val="24"/>
          <w:szCs w:val="24"/>
        </w:rPr>
        <w:t xml:space="preserve">SEÇÃO I </w:t>
      </w:r>
    </w:p>
    <w:p w14:paraId="163A1FD8" w14:textId="0200DC61" w:rsidR="00CF687A" w:rsidRPr="00CF687A" w:rsidRDefault="00CF687A" w:rsidP="00CF687A">
      <w:pPr>
        <w:pStyle w:val="CorpoA"/>
        <w:spacing w:before="240" w:line="312" w:lineRule="auto"/>
        <w:jc w:val="center"/>
        <w:rPr>
          <w:rFonts w:ascii="Arial" w:hAnsi="Arial"/>
          <w:b/>
          <w:bCs/>
          <w:sz w:val="24"/>
          <w:szCs w:val="24"/>
        </w:rPr>
      </w:pPr>
      <w:r w:rsidRPr="00CF687A">
        <w:rPr>
          <w:rFonts w:ascii="Arial" w:hAnsi="Arial"/>
          <w:b/>
          <w:bCs/>
          <w:sz w:val="24"/>
          <w:szCs w:val="24"/>
        </w:rPr>
        <w:t>DAS ESCOLAS DE SAMBA</w:t>
      </w:r>
    </w:p>
    <w:p w14:paraId="2C125B77" w14:textId="72DB1A59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Art. 3º As escolas de samba reconhecidas como agremiações carnavalescas no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Município de Niterói poderão receber apoio financeiro conforme os valores e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categorias estabelecidas no Anexo I.</w:t>
      </w:r>
    </w:p>
    <w:p w14:paraId="01AE8E77" w14:textId="7F9430B0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§1º O calendário oficial dos desfiles do Carnaval de Niterói deverá respeitar o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princípio da proporcionalidade entre as agremiações participantes, distribuindo-se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os desfiles oficiais em três dias consecutivos, conforme a seguinte organização:</w:t>
      </w:r>
    </w:p>
    <w:p w14:paraId="209C09F4" w14:textId="77777777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 – Sexta-feira: desfile de 8 (oito) agremiações do Grupo B;</w:t>
      </w:r>
    </w:p>
    <w:p w14:paraId="1D369B41" w14:textId="77777777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II – Sábado: desfile de 8 (oito) agremiações do Grupo A;</w:t>
      </w:r>
    </w:p>
    <w:p w14:paraId="2E45ED44" w14:textId="322AB51B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III – Domingo: desfile de 6 (seis) agremiações do Grupo C e até 4 (quatro)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agremiações do Grupo de Avaliação.</w:t>
      </w:r>
    </w:p>
    <w:p w14:paraId="297C736C" w14:textId="535063EB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§2º Os valores destinados às escolas de samba poderão ser transferidos em até três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parcelas, no exercício anterior ao Carnaval, nos meses de outubro, novembro e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dezembro, conforme regulamento específico.</w:t>
      </w:r>
    </w:p>
    <w:p w14:paraId="60DB9AC0" w14:textId="1B5FF404" w:rsid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lastRenderedPageBreak/>
        <w:t xml:space="preserve">§3º </w:t>
      </w:r>
      <w:r w:rsidR="0048492C" w:rsidRPr="0048492C">
        <w:rPr>
          <w:rFonts w:ascii="Arial" w:hAnsi="Arial"/>
          <w:sz w:val="24"/>
          <w:szCs w:val="24"/>
        </w:rPr>
        <w:t>Os valores definidos no Anexo I poderão ser reajustados anualmente, por ato específico e conforme disponibilidade orçamentária, pelo Índice Nacional de Preços ao Consumidor Amplo IPCA</w:t>
      </w:r>
      <w:r w:rsidRPr="00CF687A">
        <w:rPr>
          <w:rFonts w:ascii="Arial" w:hAnsi="Arial"/>
          <w:sz w:val="24"/>
          <w:szCs w:val="24"/>
        </w:rPr>
        <w:t>.</w:t>
      </w:r>
    </w:p>
    <w:p w14:paraId="3E5BEFAC" w14:textId="5EB0CE84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§4º A aplicação dos recursos deverá observar os princípios da legalidade, eficiência,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economicidade e finalidade pública, sendo vedado o uso em:</w:t>
      </w:r>
    </w:p>
    <w:p w14:paraId="5C96D0E6" w14:textId="63D2F5E3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 – Despesas com bebidas alcoólicas, churrascos, festas privadas, flores, presentes,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cestas básicas e itens análogos;</w:t>
      </w:r>
    </w:p>
    <w:p w14:paraId="20D8E5D1" w14:textId="77777777" w:rsid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II – Despesas estranhas ao objeto do plano de trabalho apresentado.</w:t>
      </w:r>
    </w:p>
    <w:p w14:paraId="0F39C3F5" w14:textId="7315D773" w:rsidR="0048492C" w:rsidRPr="00CF687A" w:rsidRDefault="0048492C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48492C">
        <w:rPr>
          <w:rFonts w:ascii="Arial" w:hAnsi="Arial"/>
          <w:sz w:val="24"/>
          <w:szCs w:val="24"/>
        </w:rPr>
        <w:t>§5º Os valores diferenciados entre as agremiações do Grupo Especial são justificados em razão do histórico de títulos e maior tempo de disputa no referido grupo, bem como posição ocupada no ranking da LIESA (2021/2025).</w:t>
      </w:r>
    </w:p>
    <w:p w14:paraId="2F56068A" w14:textId="63A8B7F5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Art. 4º A Niterói Empresa de Lazer e Turismo – NELTUR poderá autorizar, mediante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justificativa técnica, o adiantamento de até 20% (vinte por cento) do valor total da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subvenção para despesas iniciais previstas no plano de trabalho.</w:t>
      </w:r>
    </w:p>
    <w:p w14:paraId="0B64643A" w14:textId="2FAFEDF0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Art. 5º A prestação de contas pelas agremiações beneficiárias será obrigatória e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deverá seguir as diretrizes do Decreto Municipal 13.996/2021, contendo, no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mínimo:</w:t>
      </w:r>
    </w:p>
    <w:p w14:paraId="2565B028" w14:textId="77777777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 – identificação completa da entidade e seus responsáveis legais;</w:t>
      </w:r>
    </w:p>
    <w:p w14:paraId="4923B304" w14:textId="77777777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II – relatório técnico das atividades desenvolvidas conforme plano de trabalho;</w:t>
      </w:r>
    </w:p>
    <w:p w14:paraId="79977B0A" w14:textId="77777777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III – notas fiscais e recibos com descrição detalhada do serviço ou produto;</w:t>
      </w:r>
    </w:p>
    <w:p w14:paraId="5C21574E" w14:textId="77777777" w:rsid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 xml:space="preserve">IV – comprovante de execução (fotos, vídeos, registros de público); </w:t>
      </w:r>
    </w:p>
    <w:p w14:paraId="26C213AB" w14:textId="7831CF5B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V – ausência de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rasuras e emendas nos documentos apresentados.</w:t>
      </w:r>
    </w:p>
    <w:p w14:paraId="7E795917" w14:textId="77777777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VI - Documentos sobre o grau de satisfação do público-alvo.</w:t>
      </w:r>
    </w:p>
    <w:p w14:paraId="3AC44AFC" w14:textId="20BF31A2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Art. 6º A análise da prestação de contas seguirá os parâmetros estabelecidos nos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arts. 82 a 92 do Decreto Municipal nº 13.996/2021 e nos arts. 66 a 76 da Lei Federal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nº 13.019/2014.</w:t>
      </w:r>
    </w:p>
    <w:p w14:paraId="4E135A68" w14:textId="6DDCAA5C" w:rsid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lastRenderedPageBreak/>
        <w:t>Art. 7º As entidades beneficiárias deverão manter escrituração contábil regular,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preferencialmente por profissional habilitado, conforme o porte da entidade e a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complexidade dos recursos recebidos.</w:t>
      </w:r>
    </w:p>
    <w:p w14:paraId="6B6B99A2" w14:textId="77777777" w:rsid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</w:p>
    <w:p w14:paraId="691E8F2A" w14:textId="1430B072" w:rsidR="00CF687A" w:rsidRPr="00CF687A" w:rsidRDefault="00CF687A" w:rsidP="00CF687A">
      <w:pPr>
        <w:pStyle w:val="CorpoA"/>
        <w:spacing w:before="240" w:line="312" w:lineRule="auto"/>
        <w:jc w:val="center"/>
        <w:rPr>
          <w:rFonts w:ascii="Arial" w:hAnsi="Arial"/>
          <w:b/>
          <w:bCs/>
          <w:sz w:val="24"/>
          <w:szCs w:val="24"/>
        </w:rPr>
      </w:pPr>
      <w:r w:rsidRPr="00CF687A">
        <w:rPr>
          <w:rFonts w:ascii="Arial" w:hAnsi="Arial"/>
          <w:b/>
          <w:bCs/>
          <w:sz w:val="24"/>
          <w:szCs w:val="24"/>
        </w:rPr>
        <w:t xml:space="preserve">SEÇÃO II </w:t>
      </w:r>
    </w:p>
    <w:p w14:paraId="6994B075" w14:textId="6FECC3C0" w:rsidR="00CF687A" w:rsidRDefault="00CF687A" w:rsidP="00CF687A">
      <w:pPr>
        <w:pStyle w:val="CorpoA"/>
        <w:spacing w:before="240" w:line="312" w:lineRule="auto"/>
        <w:jc w:val="center"/>
        <w:rPr>
          <w:rFonts w:ascii="Arial" w:hAnsi="Arial"/>
          <w:b/>
          <w:bCs/>
          <w:sz w:val="24"/>
          <w:szCs w:val="24"/>
        </w:rPr>
      </w:pPr>
      <w:r w:rsidRPr="00CF687A">
        <w:rPr>
          <w:rFonts w:ascii="Arial" w:hAnsi="Arial"/>
          <w:b/>
          <w:bCs/>
          <w:sz w:val="24"/>
          <w:szCs w:val="24"/>
        </w:rPr>
        <w:t>DOS BLOCOS CARNAVALESCOS, CLUBES E CARNAVAIS DE BAIRRO</w:t>
      </w:r>
    </w:p>
    <w:p w14:paraId="30749D5D" w14:textId="321C6F5A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Art. 8º A concessão de apoio financeiro aos blocos carnavalescos, carnavais de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bairro e demais manifestações populares será realizada dentro dos limites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orçamentários da NELTUR para o exercício vigente, com base em chamamento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público simplificado, conforme previsto na Lei Federal nº 13.019/2014, na norma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regulamentadora no âmbito do poder executivo municipal e suas alterações e no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decreto específico a ser editado.</w:t>
      </w:r>
    </w:p>
    <w:p w14:paraId="04C5D3E7" w14:textId="77777777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§1º Os beneficiários deverão atender, no mínimo, aos seguintes parâmetros:</w:t>
      </w:r>
    </w:p>
    <w:p w14:paraId="39B414A4" w14:textId="02556E9C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 – pontuação técnica baseada em público estimado, relevância cultural e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capacidade organizacional;</w:t>
      </w:r>
    </w:p>
    <w:p w14:paraId="3241F099" w14:textId="4DD369EF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II – regularidade documental, atuação comprovada e plano de execução com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cronograma detalhado;</w:t>
      </w:r>
    </w:p>
    <w:p w14:paraId="26B7E48A" w14:textId="77777777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III – observância das faixas de repasse definidas em regulamentação;</w:t>
      </w:r>
    </w:p>
    <w:p w14:paraId="0FF67DB1" w14:textId="0225D8AF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IV – apresentação de alvará ou autorização municipal para realização do evento em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local público, conforme normas de segurança, meio ambiente e ordenamento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urbano</w:t>
      </w:r>
      <w:r>
        <w:rPr>
          <w:rFonts w:ascii="Arial" w:hAnsi="Arial"/>
          <w:sz w:val="24"/>
          <w:szCs w:val="24"/>
        </w:rPr>
        <w:t>.</w:t>
      </w:r>
    </w:p>
    <w:p w14:paraId="14A87140" w14:textId="77777777" w:rsidR="0048492C" w:rsidRDefault="0048492C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48492C">
        <w:rPr>
          <w:rFonts w:ascii="Arial" w:hAnsi="Arial"/>
          <w:sz w:val="24"/>
          <w:szCs w:val="24"/>
        </w:rPr>
        <w:t>§2º A quantidade de projetos selecionados e o valor individual de cada repasse dependerão da disponibilidade orçamentária da NELTUR e do resultado da análise técnica das propostas apresentadas, não ultrapassando o valor total de R$ 3.500.000,00 (três milhões e quinhentos mil reais), que poderão ser reajustados anualmente pelo Índice Nacional de Preços ao Consumidor Amplo IPCA, conforme disponibilidade orçamentária.</w:t>
      </w:r>
    </w:p>
    <w:p w14:paraId="35FE609B" w14:textId="15E1DB58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Art. 9º Terão prioridade no chamamento público os projetos que, cumulativamente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ou não, atendam a um ou mais dos seguintes critérios objetivos, comprovados por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documentação específica no momento da inscrição:</w:t>
      </w:r>
    </w:p>
    <w:p w14:paraId="41E04C66" w14:textId="2625FED3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lastRenderedPageBreak/>
        <w:t>I – Desenvolvam atividades voltadas a pelo menos um dos seguintes públicos-alvo: crianças, adolescentes, idosos, pessoas com deficiência ou população em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situação de vulnerabilidade social, mediante apresentação de registros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audiovisuais, relatórios de edições anteriores, ou declaração de entidade pública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ou privada parceira;</w:t>
      </w:r>
    </w:p>
    <w:p w14:paraId="2920AC8B" w14:textId="12612844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II – Abordem temáticas com enfoque educativo, cultural ou ambiental de forma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explícita em seu plano de trabalho ou material de divulgação;</w:t>
      </w:r>
    </w:p>
    <w:p w14:paraId="1B96C2A3" w14:textId="70CF2993" w:rsid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III – Comprovem atuação conjunta com, pelo menos, um artista local, coletivo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cultural comunitário ou grupo tradicional da cidade, mediante apresentação de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declaração de parceria, material de divulgação ou registros de participação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anteriores.</w:t>
      </w:r>
    </w:p>
    <w:p w14:paraId="480325D1" w14:textId="66EFE8AD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Art. 10</w:t>
      </w:r>
      <w:r>
        <w:rPr>
          <w:rFonts w:ascii="Arial" w:hAnsi="Arial"/>
          <w:sz w:val="24"/>
          <w:szCs w:val="24"/>
        </w:rPr>
        <w:t>.</w:t>
      </w:r>
      <w:r w:rsidRPr="00CF687A">
        <w:rPr>
          <w:rFonts w:ascii="Arial" w:hAnsi="Arial"/>
          <w:sz w:val="24"/>
          <w:szCs w:val="24"/>
        </w:rPr>
        <w:t xml:space="preserve"> Os blocos e entidades selecionadas deverão firmar Termo de Fomento com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a NELTUR, conforme arts. 16 e 22 da Lei Federal nº 13.019/2014, contendo:</w:t>
      </w:r>
    </w:p>
    <w:p w14:paraId="3BCE8B62" w14:textId="77777777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 – objeto da parceria e valor a ser repassado;</w:t>
      </w:r>
    </w:p>
    <w:p w14:paraId="7DC5FAE0" w14:textId="77777777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II – plano de trabalho com cronograma, metas e indicadores;</w:t>
      </w:r>
    </w:p>
    <w:p w14:paraId="2F366022" w14:textId="77777777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III – obrigações de execução;</w:t>
      </w:r>
    </w:p>
    <w:p w14:paraId="6DD4D8FA" w14:textId="762A8CE4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IV – regras de prestação de contas, conforme a legislação municipal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regulamentadora dos termos de fomento.</w:t>
      </w:r>
    </w:p>
    <w:p w14:paraId="198037F8" w14:textId="1CBE2EE9" w:rsid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Art. 11</w:t>
      </w:r>
      <w:r>
        <w:rPr>
          <w:rFonts w:ascii="Arial" w:hAnsi="Arial"/>
          <w:sz w:val="24"/>
          <w:szCs w:val="24"/>
        </w:rPr>
        <w:t>.</w:t>
      </w:r>
      <w:r w:rsidRPr="00CF687A">
        <w:rPr>
          <w:rFonts w:ascii="Arial" w:hAnsi="Arial"/>
          <w:sz w:val="24"/>
          <w:szCs w:val="24"/>
        </w:rPr>
        <w:t xml:space="preserve"> A prestação de contas deverá ser apresentada em até 30 (trinta) dias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corridos após a realização do evento, contendo:</w:t>
      </w:r>
      <w:r>
        <w:rPr>
          <w:rFonts w:ascii="Arial" w:hAnsi="Arial"/>
          <w:sz w:val="24"/>
          <w:szCs w:val="24"/>
        </w:rPr>
        <w:t xml:space="preserve"> </w:t>
      </w:r>
    </w:p>
    <w:p w14:paraId="4AB28690" w14:textId="37DFA315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 – relatório de execução;</w:t>
      </w:r>
    </w:p>
    <w:p w14:paraId="3DE1278B" w14:textId="77777777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II – notas fiscais e comprovantes de despesa;</w:t>
      </w:r>
    </w:p>
    <w:p w14:paraId="01B6C230" w14:textId="77777777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III – registros de realização (fotos, materiais gráficos e registros de público).</w:t>
      </w:r>
    </w:p>
    <w:p w14:paraId="5B4451E0" w14:textId="77777777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VI - Documentos sobre o grau de satisfação do público-alvo.</w:t>
      </w:r>
    </w:p>
    <w:p w14:paraId="011BDB31" w14:textId="5F90DD0D" w:rsid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Parágrafo Único. A execução da subvenção recebida deverá seguir as regras de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economicidade, apresentando, no mínimo, 3 (três) orçamentos distintos para cada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despesa prevista no Plano de Trabalho.</w:t>
      </w:r>
    </w:p>
    <w:p w14:paraId="21EF831B" w14:textId="77777777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</w:p>
    <w:p w14:paraId="049C39DB" w14:textId="2065751E" w:rsidR="00CF687A" w:rsidRPr="00CF687A" w:rsidRDefault="00CF687A" w:rsidP="00CF687A">
      <w:pPr>
        <w:pStyle w:val="CorpoA"/>
        <w:spacing w:before="240" w:line="312" w:lineRule="auto"/>
        <w:jc w:val="center"/>
        <w:rPr>
          <w:rFonts w:ascii="Arial" w:hAnsi="Arial"/>
          <w:b/>
          <w:bCs/>
          <w:sz w:val="24"/>
          <w:szCs w:val="24"/>
        </w:rPr>
      </w:pPr>
      <w:r w:rsidRPr="00CF687A">
        <w:rPr>
          <w:rFonts w:ascii="Arial" w:hAnsi="Arial"/>
          <w:b/>
          <w:bCs/>
          <w:sz w:val="24"/>
          <w:szCs w:val="24"/>
        </w:rPr>
        <w:t>SEÇÃO III</w:t>
      </w:r>
    </w:p>
    <w:p w14:paraId="24B48BF8" w14:textId="537D2FB6" w:rsidR="00CF687A" w:rsidRPr="00CF687A" w:rsidRDefault="00CF687A" w:rsidP="00CF687A">
      <w:pPr>
        <w:pStyle w:val="CorpoA"/>
        <w:spacing w:before="240" w:line="312" w:lineRule="auto"/>
        <w:jc w:val="center"/>
        <w:rPr>
          <w:rFonts w:ascii="Arial" w:hAnsi="Arial"/>
          <w:b/>
          <w:bCs/>
          <w:sz w:val="24"/>
          <w:szCs w:val="24"/>
        </w:rPr>
      </w:pPr>
      <w:r w:rsidRPr="00CF687A">
        <w:rPr>
          <w:rFonts w:ascii="Arial" w:hAnsi="Arial"/>
          <w:b/>
          <w:bCs/>
          <w:sz w:val="24"/>
          <w:szCs w:val="24"/>
        </w:rPr>
        <w:lastRenderedPageBreak/>
        <w:t>DAS RESPONSABILIZAÇÕES</w:t>
      </w:r>
    </w:p>
    <w:p w14:paraId="2E8A1C5F" w14:textId="4B4BC3B3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Art. 12</w:t>
      </w:r>
      <w:r w:rsidR="0048492C">
        <w:rPr>
          <w:rFonts w:ascii="Arial" w:hAnsi="Arial"/>
          <w:sz w:val="24"/>
          <w:szCs w:val="24"/>
        </w:rPr>
        <w:t>.</w:t>
      </w:r>
      <w:r w:rsidRPr="00CF687A">
        <w:rPr>
          <w:rFonts w:ascii="Arial" w:hAnsi="Arial"/>
          <w:sz w:val="24"/>
          <w:szCs w:val="24"/>
        </w:rPr>
        <w:t xml:space="preserve"> O descumprimento das obrigações previstas nesta Lei ou a rejeição da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prestação de contas sujeitará o beneficiário às sanções legais aplicáveis, incluindo,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mas não se limitando a:</w:t>
      </w:r>
    </w:p>
    <w:p w14:paraId="036F3278" w14:textId="77777777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 – Advertência formal;</w:t>
      </w:r>
    </w:p>
    <w:p w14:paraId="5BEFE3C8" w14:textId="77777777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II – Suspensão de repasses futuros;</w:t>
      </w:r>
    </w:p>
    <w:p w14:paraId="1D0266B8" w14:textId="77777777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III – Rescisão do instrumento de parceria;</w:t>
      </w:r>
    </w:p>
    <w:p w14:paraId="002B6C60" w14:textId="77777777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IV – Impedimento de firmar novas parcerias por prazo determinado;</w:t>
      </w:r>
    </w:p>
    <w:p w14:paraId="452A042D" w14:textId="1CE955F3" w:rsid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V – Inscrição em cadastro municipal de inadimplentes;</w:t>
      </w:r>
    </w:p>
    <w:p w14:paraId="661FC2E9" w14:textId="77777777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VI – Instauração de procedimento de Tomada de Contas Especial;</w:t>
      </w:r>
    </w:p>
    <w:p w14:paraId="6B854D78" w14:textId="77777777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VII – Apuração de responsabilidade civil, administrativa e criminal, conforme o caso.</w:t>
      </w:r>
    </w:p>
    <w:p w14:paraId="6C70BC64" w14:textId="66E9D360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Parágrafo único. A aplicação das penalidades seguirá os procedimentos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estabelecidos na legislação federal e municipal vigente sobre parcerias com</w:t>
      </w:r>
      <w:r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organizações da sociedade civil.</w:t>
      </w:r>
    </w:p>
    <w:p w14:paraId="04679BAD" w14:textId="68AC4C23" w:rsid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Art. 13</w:t>
      </w:r>
      <w:r w:rsidR="0048492C">
        <w:rPr>
          <w:rFonts w:ascii="Arial" w:hAnsi="Arial"/>
          <w:sz w:val="24"/>
          <w:szCs w:val="24"/>
        </w:rPr>
        <w:t>.</w:t>
      </w:r>
      <w:r w:rsidRPr="00CF687A">
        <w:rPr>
          <w:rFonts w:ascii="Arial" w:hAnsi="Arial"/>
          <w:sz w:val="24"/>
          <w:szCs w:val="24"/>
        </w:rPr>
        <w:t xml:space="preserve"> Fica criado, no âmbito do Município, a política pública do Circuito dos</w:t>
      </w:r>
      <w:r w:rsidR="009637A7"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Carnavais de Bairros e Blocos da Cidade de Niterói, a ser organizada anualmente</w:t>
      </w:r>
      <w:r w:rsidR="009637A7"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pela NELTUR e os demais órgãos e entidades competentes pela organização</w:t>
      </w:r>
      <w:r w:rsidR="009637A7"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operacional dos eventos públicos municipais, com o objetivo de valorizar as</w:t>
      </w:r>
      <w:r w:rsidR="009637A7"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manifestações carnavalescas tradicionais nos bairros da cidade.</w:t>
      </w:r>
    </w:p>
    <w:p w14:paraId="6C065BC5" w14:textId="77777777" w:rsidR="009637A7" w:rsidRPr="00CF687A" w:rsidRDefault="009637A7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</w:p>
    <w:p w14:paraId="2BE6D099" w14:textId="5C25BAB4" w:rsidR="009637A7" w:rsidRPr="009637A7" w:rsidRDefault="00CF687A" w:rsidP="009637A7">
      <w:pPr>
        <w:pStyle w:val="CorpoA"/>
        <w:spacing w:before="240" w:line="312" w:lineRule="auto"/>
        <w:jc w:val="center"/>
        <w:rPr>
          <w:rFonts w:ascii="Arial" w:hAnsi="Arial"/>
          <w:b/>
          <w:bCs/>
          <w:sz w:val="24"/>
          <w:szCs w:val="24"/>
        </w:rPr>
      </w:pPr>
      <w:r w:rsidRPr="009637A7">
        <w:rPr>
          <w:rFonts w:ascii="Arial" w:hAnsi="Arial"/>
          <w:b/>
          <w:bCs/>
          <w:sz w:val="24"/>
          <w:szCs w:val="24"/>
        </w:rPr>
        <w:t>SEÇÃO IV</w:t>
      </w:r>
    </w:p>
    <w:p w14:paraId="15CBDEFE" w14:textId="4AFB75E6" w:rsidR="00CF687A" w:rsidRPr="009637A7" w:rsidRDefault="00CF687A" w:rsidP="009637A7">
      <w:pPr>
        <w:pStyle w:val="CorpoA"/>
        <w:spacing w:before="240" w:line="312" w:lineRule="auto"/>
        <w:jc w:val="center"/>
        <w:rPr>
          <w:rFonts w:ascii="Arial" w:hAnsi="Arial"/>
          <w:b/>
          <w:bCs/>
          <w:sz w:val="24"/>
          <w:szCs w:val="24"/>
        </w:rPr>
      </w:pPr>
      <w:r w:rsidRPr="009637A7">
        <w:rPr>
          <w:rFonts w:ascii="Arial" w:hAnsi="Arial"/>
          <w:b/>
          <w:bCs/>
          <w:sz w:val="24"/>
          <w:szCs w:val="24"/>
        </w:rPr>
        <w:t>DAS DISPOSIÇÕES FINAIS</w:t>
      </w:r>
    </w:p>
    <w:p w14:paraId="6C8E7404" w14:textId="34F1CE08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Art. 14</w:t>
      </w:r>
      <w:r w:rsidR="0048492C">
        <w:rPr>
          <w:rFonts w:ascii="Arial" w:hAnsi="Arial"/>
          <w:sz w:val="24"/>
          <w:szCs w:val="24"/>
        </w:rPr>
        <w:t>.</w:t>
      </w:r>
      <w:r w:rsidRPr="00CF687A">
        <w:rPr>
          <w:rFonts w:ascii="Arial" w:hAnsi="Arial"/>
          <w:sz w:val="24"/>
          <w:szCs w:val="24"/>
        </w:rPr>
        <w:t xml:space="preserve"> O Poder Executivo poderá celebrar convênio ou termo de cooperação com</w:t>
      </w:r>
      <w:r w:rsidR="009637A7"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a NELTUR para a operacionalização, repasse, fiscalização e análise das prestações</w:t>
      </w:r>
      <w:r w:rsidR="009637A7"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de contas decorrentes desta Lei.</w:t>
      </w:r>
    </w:p>
    <w:p w14:paraId="09F294DF" w14:textId="3745A5F6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Parágrafo único. A NELTUR poderá apoiar, com base em critérios técnicos e</w:t>
      </w:r>
      <w:r w:rsidR="009637A7"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histórico de realização, circuitos de Blocos e Carnavais de Bairro nos locais em que</w:t>
      </w:r>
      <w:r w:rsidR="009637A7"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lastRenderedPageBreak/>
        <w:t>tradicionalmente ocorrem essas manifestações, respeitando as especificidades</w:t>
      </w:r>
      <w:r w:rsidR="009637A7"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regionais.</w:t>
      </w:r>
    </w:p>
    <w:p w14:paraId="69DF6456" w14:textId="7D2454FD" w:rsidR="00CF687A" w:rsidRP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Art. 15</w:t>
      </w:r>
      <w:r w:rsidR="0048492C">
        <w:rPr>
          <w:rFonts w:ascii="Arial" w:hAnsi="Arial"/>
          <w:sz w:val="24"/>
          <w:szCs w:val="24"/>
        </w:rPr>
        <w:t>.</w:t>
      </w:r>
      <w:r w:rsidRPr="00CF687A">
        <w:rPr>
          <w:rFonts w:ascii="Arial" w:hAnsi="Arial"/>
          <w:sz w:val="24"/>
          <w:szCs w:val="24"/>
        </w:rPr>
        <w:t xml:space="preserve"> A NELTUR poderá, anualmente, promover oficinas, cursos e formações</w:t>
      </w:r>
      <w:r w:rsidR="009637A7"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gratuitas voltadas à gestão cultural, captação de recursos, elaboração de projetos e</w:t>
      </w:r>
      <w:r w:rsidR="009637A7">
        <w:rPr>
          <w:rFonts w:ascii="Arial" w:hAnsi="Arial"/>
          <w:sz w:val="24"/>
          <w:szCs w:val="24"/>
        </w:rPr>
        <w:t xml:space="preserve">  </w:t>
      </w:r>
      <w:r w:rsidRPr="00CF687A">
        <w:rPr>
          <w:rFonts w:ascii="Arial" w:hAnsi="Arial"/>
          <w:sz w:val="24"/>
          <w:szCs w:val="24"/>
        </w:rPr>
        <w:t>prestação de contas para entidades interessadas em participar dos editais do</w:t>
      </w:r>
      <w:r w:rsidR="009637A7"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Carnaval.</w:t>
      </w:r>
    </w:p>
    <w:p w14:paraId="5202D1CD" w14:textId="75DD5FB9" w:rsidR="00CF687A" w:rsidRDefault="00CF687A" w:rsidP="00CF687A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CF687A">
        <w:rPr>
          <w:rFonts w:ascii="Arial" w:hAnsi="Arial"/>
          <w:sz w:val="24"/>
          <w:szCs w:val="24"/>
        </w:rPr>
        <w:t>Art. 16</w:t>
      </w:r>
      <w:r w:rsidR="0048492C">
        <w:rPr>
          <w:rFonts w:ascii="Arial" w:hAnsi="Arial"/>
          <w:sz w:val="24"/>
          <w:szCs w:val="24"/>
        </w:rPr>
        <w:t>.</w:t>
      </w:r>
      <w:r w:rsidRPr="00CF687A">
        <w:rPr>
          <w:rFonts w:ascii="Arial" w:hAnsi="Arial"/>
          <w:sz w:val="24"/>
          <w:szCs w:val="24"/>
        </w:rPr>
        <w:t xml:space="preserve"> As entidades selecionadas nos termos desta Lei deverão apresentar, até 120</w:t>
      </w:r>
      <w:r w:rsidR="009637A7"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(cento e vinte dias) dias após o término do Carnaval, uma contrapartida</w:t>
      </w:r>
      <w:r w:rsidR="009637A7"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sociocultural na forma de atividade educativa gratuita ou ensaio aberto ao público,</w:t>
      </w:r>
      <w:r w:rsidR="009637A7"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conforme regulamento da NELTUR, podendo contar com apoio técnico, financeiro</w:t>
      </w:r>
      <w:r w:rsidR="009637A7"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proporcional ao público envolvido, a critério da empresa pública e provimento de</w:t>
      </w:r>
      <w:r w:rsidR="009637A7">
        <w:rPr>
          <w:rFonts w:ascii="Arial" w:hAnsi="Arial"/>
          <w:sz w:val="24"/>
          <w:szCs w:val="24"/>
        </w:rPr>
        <w:t xml:space="preserve"> </w:t>
      </w:r>
      <w:r w:rsidRPr="00CF687A">
        <w:rPr>
          <w:rFonts w:ascii="Arial" w:hAnsi="Arial"/>
          <w:sz w:val="24"/>
          <w:szCs w:val="24"/>
        </w:rPr>
        <w:t>estruturas proporcionais ao público envolvido.</w:t>
      </w:r>
    </w:p>
    <w:p w14:paraId="00DC78E2" w14:textId="48AE391D" w:rsidR="009637A7" w:rsidRPr="009637A7" w:rsidRDefault="009637A7" w:rsidP="009637A7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9637A7">
        <w:rPr>
          <w:rFonts w:ascii="Arial" w:hAnsi="Arial"/>
          <w:sz w:val="24"/>
          <w:szCs w:val="24"/>
        </w:rPr>
        <w:t>Art. 17</w:t>
      </w:r>
      <w:r w:rsidR="0048492C">
        <w:rPr>
          <w:rFonts w:ascii="Arial" w:hAnsi="Arial"/>
          <w:sz w:val="24"/>
          <w:szCs w:val="24"/>
        </w:rPr>
        <w:t>.</w:t>
      </w:r>
      <w:r w:rsidRPr="009637A7">
        <w:rPr>
          <w:rFonts w:ascii="Arial" w:hAnsi="Arial"/>
          <w:sz w:val="24"/>
          <w:szCs w:val="24"/>
        </w:rPr>
        <w:t xml:space="preserve"> Para habilitação no chamamento público, os blocos carnavalescos deverão</w:t>
      </w:r>
      <w:r>
        <w:rPr>
          <w:rFonts w:ascii="Arial" w:hAnsi="Arial"/>
          <w:sz w:val="24"/>
          <w:szCs w:val="24"/>
        </w:rPr>
        <w:t xml:space="preserve"> </w:t>
      </w:r>
      <w:r w:rsidRPr="009637A7">
        <w:rPr>
          <w:rFonts w:ascii="Arial" w:hAnsi="Arial"/>
          <w:sz w:val="24"/>
          <w:szCs w:val="24"/>
        </w:rPr>
        <w:t>comprovar a obtenção de alvará ou autorização específica de funcionamento</w:t>
      </w:r>
      <w:r>
        <w:rPr>
          <w:rFonts w:ascii="Arial" w:hAnsi="Arial"/>
          <w:sz w:val="24"/>
          <w:szCs w:val="24"/>
        </w:rPr>
        <w:t xml:space="preserve"> </w:t>
      </w:r>
      <w:r w:rsidRPr="009637A7">
        <w:rPr>
          <w:rFonts w:ascii="Arial" w:hAnsi="Arial"/>
          <w:sz w:val="24"/>
          <w:szCs w:val="24"/>
        </w:rPr>
        <w:t>expedido pelo órgão competente, observando as normas de segurança,</w:t>
      </w:r>
      <w:r>
        <w:rPr>
          <w:rFonts w:ascii="Arial" w:hAnsi="Arial"/>
          <w:sz w:val="24"/>
          <w:szCs w:val="24"/>
        </w:rPr>
        <w:t xml:space="preserve"> </w:t>
      </w:r>
      <w:r w:rsidRPr="009637A7">
        <w:rPr>
          <w:rFonts w:ascii="Arial" w:hAnsi="Arial"/>
          <w:sz w:val="24"/>
          <w:szCs w:val="24"/>
        </w:rPr>
        <w:t>ordenamento urbano e controle ambiental.</w:t>
      </w:r>
    </w:p>
    <w:p w14:paraId="69744064" w14:textId="5ED1DF95" w:rsidR="009637A7" w:rsidRPr="009637A7" w:rsidRDefault="009637A7" w:rsidP="009637A7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9637A7">
        <w:rPr>
          <w:rFonts w:ascii="Arial" w:hAnsi="Arial"/>
          <w:sz w:val="24"/>
          <w:szCs w:val="24"/>
        </w:rPr>
        <w:t>Art. 18</w:t>
      </w:r>
      <w:r w:rsidR="0048492C">
        <w:rPr>
          <w:rFonts w:ascii="Arial" w:hAnsi="Arial"/>
          <w:sz w:val="24"/>
          <w:szCs w:val="24"/>
        </w:rPr>
        <w:t>.</w:t>
      </w:r>
      <w:r w:rsidRPr="009637A7">
        <w:rPr>
          <w:rFonts w:ascii="Arial" w:hAnsi="Arial"/>
          <w:sz w:val="24"/>
          <w:szCs w:val="24"/>
        </w:rPr>
        <w:t xml:space="preserve"> As despesas decorrentes da execução desta Lei correrão por conta das</w:t>
      </w:r>
      <w:r>
        <w:rPr>
          <w:rFonts w:ascii="Arial" w:hAnsi="Arial"/>
          <w:sz w:val="24"/>
          <w:szCs w:val="24"/>
        </w:rPr>
        <w:t xml:space="preserve"> </w:t>
      </w:r>
      <w:r w:rsidRPr="009637A7">
        <w:rPr>
          <w:rFonts w:ascii="Arial" w:hAnsi="Arial"/>
          <w:sz w:val="24"/>
          <w:szCs w:val="24"/>
        </w:rPr>
        <w:t>dotações orçamentárias próprias, podendo o Poder Executivo promover</w:t>
      </w:r>
      <w:r>
        <w:rPr>
          <w:rFonts w:ascii="Arial" w:hAnsi="Arial"/>
          <w:sz w:val="24"/>
          <w:szCs w:val="24"/>
        </w:rPr>
        <w:t xml:space="preserve"> </w:t>
      </w:r>
      <w:r w:rsidRPr="009637A7">
        <w:rPr>
          <w:rFonts w:ascii="Arial" w:hAnsi="Arial"/>
          <w:sz w:val="24"/>
          <w:szCs w:val="24"/>
        </w:rPr>
        <w:t>remanejamentos conforme necessidade.</w:t>
      </w:r>
    </w:p>
    <w:p w14:paraId="7AA765AC" w14:textId="347B2CFF" w:rsidR="009637A7" w:rsidRPr="009637A7" w:rsidRDefault="009637A7" w:rsidP="009637A7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9637A7">
        <w:rPr>
          <w:rFonts w:ascii="Arial" w:hAnsi="Arial"/>
          <w:sz w:val="24"/>
          <w:szCs w:val="24"/>
        </w:rPr>
        <w:t>Art. 19</w:t>
      </w:r>
      <w:r w:rsidR="0048492C">
        <w:rPr>
          <w:rFonts w:ascii="Arial" w:hAnsi="Arial"/>
          <w:sz w:val="24"/>
          <w:szCs w:val="24"/>
        </w:rPr>
        <w:t>.</w:t>
      </w:r>
      <w:r w:rsidRPr="009637A7">
        <w:rPr>
          <w:rFonts w:ascii="Arial" w:hAnsi="Arial"/>
          <w:sz w:val="24"/>
          <w:szCs w:val="24"/>
        </w:rPr>
        <w:t xml:space="preserve"> O Poder Executivo regulamentará esta Lei no que couber, podendo editar</w:t>
      </w:r>
      <w:r>
        <w:rPr>
          <w:rFonts w:ascii="Arial" w:hAnsi="Arial"/>
          <w:sz w:val="24"/>
          <w:szCs w:val="24"/>
        </w:rPr>
        <w:t xml:space="preserve"> </w:t>
      </w:r>
      <w:r w:rsidRPr="009637A7">
        <w:rPr>
          <w:rFonts w:ascii="Arial" w:hAnsi="Arial"/>
          <w:sz w:val="24"/>
          <w:szCs w:val="24"/>
        </w:rPr>
        <w:t>normas complementares para sua fiel execução, inclusive por meio da NELTUR.</w:t>
      </w:r>
    </w:p>
    <w:p w14:paraId="301FBE8C" w14:textId="747A129E" w:rsidR="009637A7" w:rsidRPr="009637A7" w:rsidRDefault="009637A7" w:rsidP="009637A7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9637A7">
        <w:rPr>
          <w:rFonts w:ascii="Arial" w:hAnsi="Arial"/>
          <w:sz w:val="24"/>
          <w:szCs w:val="24"/>
        </w:rPr>
        <w:t>Art. 20</w:t>
      </w:r>
      <w:r w:rsidR="0048492C">
        <w:rPr>
          <w:rFonts w:ascii="Arial" w:hAnsi="Arial"/>
          <w:sz w:val="24"/>
          <w:szCs w:val="24"/>
        </w:rPr>
        <w:t>.</w:t>
      </w:r>
      <w:r w:rsidRPr="009637A7">
        <w:rPr>
          <w:rFonts w:ascii="Arial" w:hAnsi="Arial"/>
          <w:sz w:val="24"/>
          <w:szCs w:val="24"/>
        </w:rPr>
        <w:t xml:space="preserve"> </w:t>
      </w:r>
      <w:r w:rsidR="0048492C" w:rsidRPr="0048492C">
        <w:rPr>
          <w:rFonts w:ascii="Arial" w:hAnsi="Arial"/>
          <w:sz w:val="24"/>
          <w:szCs w:val="24"/>
        </w:rPr>
        <w:t>Fica revogada integralmente a Lei Municipal nº 3.821, de 19 de outubro de 2023, e todos os seus dispositivos.</w:t>
      </w:r>
    </w:p>
    <w:p w14:paraId="75BE1132" w14:textId="0A292B64" w:rsidR="009637A7" w:rsidRDefault="009637A7" w:rsidP="009637A7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9637A7">
        <w:rPr>
          <w:rFonts w:ascii="Arial" w:hAnsi="Arial"/>
          <w:sz w:val="24"/>
          <w:szCs w:val="24"/>
        </w:rPr>
        <w:t>Art. 21</w:t>
      </w:r>
      <w:r w:rsidR="0048492C">
        <w:rPr>
          <w:rFonts w:ascii="Arial" w:hAnsi="Arial"/>
          <w:sz w:val="24"/>
          <w:szCs w:val="24"/>
        </w:rPr>
        <w:t>.</w:t>
      </w:r>
      <w:r w:rsidRPr="009637A7">
        <w:rPr>
          <w:rFonts w:ascii="Arial" w:hAnsi="Arial"/>
          <w:sz w:val="24"/>
          <w:szCs w:val="24"/>
        </w:rPr>
        <w:t xml:space="preserve"> Esta Lei entra em vigor na data de sua publicação, revogando-se as</w:t>
      </w:r>
      <w:r>
        <w:rPr>
          <w:rFonts w:ascii="Arial" w:hAnsi="Arial"/>
          <w:sz w:val="24"/>
          <w:szCs w:val="24"/>
        </w:rPr>
        <w:t xml:space="preserve"> </w:t>
      </w:r>
      <w:r w:rsidRPr="009637A7">
        <w:rPr>
          <w:rFonts w:ascii="Arial" w:hAnsi="Arial"/>
          <w:sz w:val="24"/>
          <w:szCs w:val="24"/>
        </w:rPr>
        <w:t>disposições em contrário.</w:t>
      </w:r>
    </w:p>
    <w:p w14:paraId="54D27A75" w14:textId="77777777" w:rsidR="009637A7" w:rsidRDefault="009637A7">
      <w:pPr>
        <w:rPr>
          <w:rFonts w:ascii="Arial" w:hAnsi="Arial" w:cs="Arial Unicode MS"/>
          <w:color w:val="000000"/>
          <w:u w:color="000000"/>
          <w:lang w:val="pt-PT" w:eastAsia="pt-BR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Arial" w:hAnsi="Arial"/>
        </w:rPr>
        <w:br w:type="page"/>
      </w:r>
    </w:p>
    <w:p w14:paraId="715CBE8F" w14:textId="77777777" w:rsidR="009637A7" w:rsidRPr="009637A7" w:rsidRDefault="009637A7" w:rsidP="009637A7">
      <w:pPr>
        <w:spacing w:before="36"/>
        <w:ind w:right="135"/>
        <w:jc w:val="center"/>
        <w:rPr>
          <w:rFonts w:ascii="Arial" w:hAnsi="Arial" w:cs="Arial"/>
          <w:b/>
        </w:rPr>
      </w:pPr>
      <w:r w:rsidRPr="009637A7">
        <w:rPr>
          <w:rFonts w:ascii="Arial" w:hAnsi="Arial" w:cs="Arial"/>
          <w:b/>
        </w:rPr>
        <w:lastRenderedPageBreak/>
        <w:t>ANEXO</w:t>
      </w:r>
      <w:r w:rsidRPr="009637A7">
        <w:rPr>
          <w:rFonts w:ascii="Arial" w:hAnsi="Arial" w:cs="Arial"/>
          <w:b/>
          <w:spacing w:val="-13"/>
        </w:rPr>
        <w:t xml:space="preserve"> </w:t>
      </w:r>
      <w:r w:rsidRPr="009637A7">
        <w:rPr>
          <w:rFonts w:ascii="Arial" w:hAnsi="Arial" w:cs="Arial"/>
          <w:b/>
          <w:spacing w:val="-10"/>
        </w:rPr>
        <w:t>I</w:t>
      </w:r>
    </w:p>
    <w:p w14:paraId="0E075DAD" w14:textId="77777777" w:rsidR="009637A7" w:rsidRPr="009637A7" w:rsidRDefault="009637A7" w:rsidP="009637A7">
      <w:pPr>
        <w:spacing w:before="52"/>
        <w:ind w:right="134"/>
        <w:jc w:val="center"/>
        <w:rPr>
          <w:rFonts w:ascii="Arial" w:hAnsi="Arial" w:cs="Arial"/>
          <w:b/>
        </w:rPr>
      </w:pPr>
      <w:r w:rsidRPr="009637A7">
        <w:rPr>
          <w:rFonts w:ascii="Arial" w:hAnsi="Arial" w:cs="Arial"/>
          <w:b/>
        </w:rPr>
        <w:t>DA</w:t>
      </w:r>
      <w:r w:rsidRPr="009637A7">
        <w:rPr>
          <w:rFonts w:ascii="Arial" w:hAnsi="Arial" w:cs="Arial"/>
          <w:b/>
          <w:spacing w:val="-9"/>
        </w:rPr>
        <w:t xml:space="preserve"> </w:t>
      </w:r>
      <w:r w:rsidRPr="009637A7">
        <w:rPr>
          <w:rFonts w:ascii="Arial" w:hAnsi="Arial" w:cs="Arial"/>
          <w:b/>
        </w:rPr>
        <w:t>SUBVENÇÃO</w:t>
      </w:r>
      <w:r w:rsidRPr="009637A7">
        <w:rPr>
          <w:rFonts w:ascii="Arial" w:hAnsi="Arial" w:cs="Arial"/>
          <w:b/>
          <w:spacing w:val="-11"/>
        </w:rPr>
        <w:t xml:space="preserve"> </w:t>
      </w:r>
      <w:r w:rsidRPr="009637A7">
        <w:rPr>
          <w:rFonts w:ascii="Arial" w:hAnsi="Arial" w:cs="Arial"/>
          <w:b/>
        </w:rPr>
        <w:t>PARA</w:t>
      </w:r>
      <w:r w:rsidRPr="009637A7">
        <w:rPr>
          <w:rFonts w:ascii="Arial" w:hAnsi="Arial" w:cs="Arial"/>
          <w:b/>
          <w:spacing w:val="-9"/>
        </w:rPr>
        <w:t xml:space="preserve"> </w:t>
      </w:r>
      <w:r w:rsidRPr="009637A7">
        <w:rPr>
          <w:rFonts w:ascii="Arial" w:hAnsi="Arial" w:cs="Arial"/>
          <w:b/>
        </w:rPr>
        <w:t>AS</w:t>
      </w:r>
      <w:r w:rsidRPr="009637A7">
        <w:rPr>
          <w:rFonts w:ascii="Arial" w:hAnsi="Arial" w:cs="Arial"/>
          <w:b/>
          <w:spacing w:val="-11"/>
        </w:rPr>
        <w:t xml:space="preserve"> </w:t>
      </w:r>
      <w:r w:rsidRPr="009637A7">
        <w:rPr>
          <w:rFonts w:ascii="Arial" w:hAnsi="Arial" w:cs="Arial"/>
          <w:b/>
        </w:rPr>
        <w:t>ESCOLAS</w:t>
      </w:r>
      <w:r w:rsidRPr="009637A7">
        <w:rPr>
          <w:rFonts w:ascii="Arial" w:hAnsi="Arial" w:cs="Arial"/>
          <w:b/>
          <w:spacing w:val="-11"/>
        </w:rPr>
        <w:t xml:space="preserve"> </w:t>
      </w:r>
      <w:r w:rsidRPr="009637A7">
        <w:rPr>
          <w:rFonts w:ascii="Arial" w:hAnsi="Arial" w:cs="Arial"/>
          <w:b/>
        </w:rPr>
        <w:t>DE</w:t>
      </w:r>
      <w:r w:rsidRPr="009637A7">
        <w:rPr>
          <w:rFonts w:ascii="Arial" w:hAnsi="Arial" w:cs="Arial"/>
          <w:b/>
          <w:spacing w:val="-8"/>
        </w:rPr>
        <w:t xml:space="preserve"> </w:t>
      </w:r>
      <w:r w:rsidRPr="009637A7">
        <w:rPr>
          <w:rFonts w:ascii="Arial" w:hAnsi="Arial" w:cs="Arial"/>
          <w:b/>
          <w:spacing w:val="-2"/>
        </w:rPr>
        <w:t>SAMBA</w:t>
      </w:r>
    </w:p>
    <w:p w14:paraId="4BA174B6" w14:textId="77777777" w:rsidR="009637A7" w:rsidRPr="009637A7" w:rsidRDefault="009637A7" w:rsidP="009637A7">
      <w:pPr>
        <w:pStyle w:val="Corpodetexto"/>
        <w:spacing w:before="175"/>
        <w:ind w:left="0" w:firstLine="0"/>
        <w:jc w:val="left"/>
        <w:rPr>
          <w:rFonts w:ascii="Arial" w:hAnsi="Arial" w:cs="Arial"/>
          <w:b/>
          <w:sz w:val="24"/>
          <w:szCs w:val="24"/>
        </w:rPr>
      </w:pPr>
    </w:p>
    <w:tbl>
      <w:tblPr>
        <w:tblStyle w:val="TableNormal"/>
        <w:tblW w:w="9499" w:type="dxa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3"/>
        <w:gridCol w:w="5106"/>
      </w:tblGrid>
      <w:tr w:rsidR="009637A7" w:rsidRPr="009637A7" w14:paraId="1355C10B" w14:textId="77777777" w:rsidTr="0048492C">
        <w:trPr>
          <w:trHeight w:val="590"/>
        </w:trPr>
        <w:tc>
          <w:tcPr>
            <w:tcW w:w="4393" w:type="dxa"/>
          </w:tcPr>
          <w:p w14:paraId="0C07532C" w14:textId="77777777" w:rsidR="009637A7" w:rsidRPr="009637A7" w:rsidRDefault="009637A7" w:rsidP="00300F3A">
            <w:pPr>
              <w:pStyle w:val="TableParagraph"/>
              <w:spacing w:before="114"/>
              <w:ind w:right="722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9637A7">
              <w:rPr>
                <w:rFonts w:ascii="Arial" w:hAnsi="Arial" w:cs="Arial"/>
                <w:b/>
                <w:spacing w:val="-2"/>
                <w:sz w:val="24"/>
                <w:szCs w:val="24"/>
              </w:rPr>
              <w:t>GRUPO/CARNAVAL</w:t>
            </w:r>
          </w:p>
        </w:tc>
        <w:tc>
          <w:tcPr>
            <w:tcW w:w="5106" w:type="dxa"/>
          </w:tcPr>
          <w:p w14:paraId="100E656D" w14:textId="77777777" w:rsidR="009637A7" w:rsidRPr="009637A7" w:rsidRDefault="009637A7" w:rsidP="00300F3A">
            <w:pPr>
              <w:pStyle w:val="TableParagraph"/>
              <w:spacing w:before="114"/>
              <w:ind w:left="2251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637A7">
              <w:rPr>
                <w:rFonts w:ascii="Arial" w:hAnsi="Arial" w:cs="Arial"/>
                <w:b/>
                <w:spacing w:val="-2"/>
                <w:sz w:val="24"/>
                <w:szCs w:val="24"/>
              </w:rPr>
              <w:t>VALOR</w:t>
            </w:r>
            <w:r w:rsidRPr="009637A7">
              <w:rPr>
                <w:rFonts w:ascii="Arial" w:hAnsi="Arial" w:cs="Arial"/>
                <w:b/>
                <w:spacing w:val="-12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b/>
                <w:spacing w:val="-4"/>
                <w:sz w:val="24"/>
                <w:szCs w:val="24"/>
              </w:rPr>
              <w:t>(R$)</w:t>
            </w:r>
          </w:p>
        </w:tc>
      </w:tr>
      <w:tr w:rsidR="009637A7" w:rsidRPr="009637A7" w14:paraId="516F7AE5" w14:textId="77777777" w:rsidTr="0048492C">
        <w:trPr>
          <w:trHeight w:val="1278"/>
        </w:trPr>
        <w:tc>
          <w:tcPr>
            <w:tcW w:w="4393" w:type="dxa"/>
          </w:tcPr>
          <w:p w14:paraId="5BDB908C" w14:textId="77777777" w:rsidR="009637A7" w:rsidRPr="009637A7" w:rsidRDefault="009637A7" w:rsidP="00300F3A">
            <w:pPr>
              <w:pStyle w:val="TableParagraph"/>
              <w:spacing w:before="116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14524A0" w14:textId="77777777" w:rsidR="009637A7" w:rsidRPr="009637A7" w:rsidRDefault="009637A7" w:rsidP="00300F3A">
            <w:pPr>
              <w:pStyle w:val="TableParagraph"/>
              <w:ind w:right="77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637A7">
              <w:rPr>
                <w:rFonts w:ascii="Arial" w:hAnsi="Arial" w:cs="Arial"/>
                <w:sz w:val="24"/>
                <w:szCs w:val="24"/>
              </w:rPr>
              <w:t>GRUPO</w:t>
            </w:r>
            <w:r w:rsidRPr="009637A7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ESPECIAL</w:t>
            </w:r>
            <w:r w:rsidRPr="009637A7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pacing w:val="-2"/>
                <w:sz w:val="24"/>
                <w:szCs w:val="24"/>
              </w:rPr>
              <w:t>(LIESA)</w:t>
            </w:r>
          </w:p>
        </w:tc>
        <w:tc>
          <w:tcPr>
            <w:tcW w:w="5106" w:type="dxa"/>
          </w:tcPr>
          <w:p w14:paraId="6B4B6FA3" w14:textId="77777777" w:rsidR="0048492C" w:rsidRDefault="0048492C" w:rsidP="0048492C">
            <w:pPr>
              <w:pStyle w:val="TableParagraph"/>
              <w:spacing w:before="88"/>
              <w:ind w:left="67" w:right="5"/>
              <w:rPr>
                <w:sz w:val="28"/>
              </w:rPr>
            </w:pPr>
            <w:r>
              <w:rPr>
                <w:sz w:val="28"/>
              </w:rPr>
              <w:t xml:space="preserve">R$ 5.000.000,00 (cinco milhões de reais) para a GRES Unidos do Viradouro </w:t>
            </w:r>
          </w:p>
          <w:p w14:paraId="4806BDF2" w14:textId="77777777" w:rsidR="0048492C" w:rsidRDefault="0048492C" w:rsidP="0048492C">
            <w:pPr>
              <w:pStyle w:val="TableParagraph"/>
              <w:spacing w:before="88"/>
              <w:ind w:left="67" w:right="5"/>
              <w:rPr>
                <w:sz w:val="28"/>
              </w:rPr>
            </w:pPr>
            <w:r>
              <w:rPr>
                <w:sz w:val="28"/>
              </w:rPr>
              <w:t xml:space="preserve">R$ 4.000.000,00 (quatro milhões de reais) para a GRES Acadêmicos de Niterói </w:t>
            </w:r>
          </w:p>
          <w:p w14:paraId="637D1A86" w14:textId="63D7DD23" w:rsidR="009637A7" w:rsidRPr="009637A7" w:rsidRDefault="009637A7" w:rsidP="00300F3A">
            <w:pPr>
              <w:pStyle w:val="TableParagraph"/>
              <w:spacing w:before="28" w:line="256" w:lineRule="auto"/>
              <w:ind w:left="67" w:right="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37A7" w:rsidRPr="009637A7" w14:paraId="478288DA" w14:textId="77777777" w:rsidTr="0048492C">
        <w:trPr>
          <w:trHeight w:val="1276"/>
        </w:trPr>
        <w:tc>
          <w:tcPr>
            <w:tcW w:w="4393" w:type="dxa"/>
          </w:tcPr>
          <w:p w14:paraId="785BFB33" w14:textId="77777777" w:rsidR="009637A7" w:rsidRPr="009637A7" w:rsidRDefault="009637A7" w:rsidP="00300F3A">
            <w:pPr>
              <w:pStyle w:val="TableParagraph"/>
              <w:spacing w:before="113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BC0BB99" w14:textId="77777777" w:rsidR="009637A7" w:rsidRPr="009637A7" w:rsidRDefault="009637A7" w:rsidP="00300F3A">
            <w:pPr>
              <w:pStyle w:val="TableParagraph"/>
              <w:spacing w:before="1"/>
              <w:ind w:left="978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637A7">
              <w:rPr>
                <w:rFonts w:ascii="Arial" w:hAnsi="Arial" w:cs="Arial"/>
                <w:spacing w:val="-2"/>
                <w:sz w:val="24"/>
                <w:szCs w:val="24"/>
              </w:rPr>
              <w:t>SÉRIE</w:t>
            </w:r>
            <w:r w:rsidRPr="009637A7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pacing w:val="-2"/>
                <w:sz w:val="24"/>
                <w:szCs w:val="24"/>
              </w:rPr>
              <w:t>PRATA</w:t>
            </w:r>
            <w:r w:rsidRPr="009637A7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pacing w:val="-2"/>
                <w:sz w:val="24"/>
                <w:szCs w:val="24"/>
              </w:rPr>
              <w:t>(LIGA</w:t>
            </w:r>
            <w:r w:rsidRPr="009637A7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pacing w:val="-5"/>
                <w:sz w:val="24"/>
                <w:szCs w:val="24"/>
              </w:rPr>
              <w:t>RJ)</w:t>
            </w:r>
          </w:p>
        </w:tc>
        <w:tc>
          <w:tcPr>
            <w:tcW w:w="5106" w:type="dxa"/>
          </w:tcPr>
          <w:p w14:paraId="2BE9E853" w14:textId="77777777" w:rsidR="009637A7" w:rsidRPr="009637A7" w:rsidRDefault="009637A7" w:rsidP="00300F3A">
            <w:pPr>
              <w:pStyle w:val="TableParagraph"/>
              <w:spacing w:before="112"/>
              <w:ind w:left="203" w:right="141" w:firstLine="3"/>
              <w:rPr>
                <w:rFonts w:ascii="Arial" w:hAnsi="Arial" w:cs="Arial"/>
                <w:sz w:val="24"/>
                <w:szCs w:val="24"/>
              </w:rPr>
            </w:pPr>
            <w:r w:rsidRPr="009637A7">
              <w:rPr>
                <w:rFonts w:ascii="Arial" w:hAnsi="Arial" w:cs="Arial"/>
                <w:sz w:val="24"/>
                <w:szCs w:val="24"/>
              </w:rPr>
              <w:t>ATÉ R$ 1.080.547,22 (um milhão oitenta mil</w:t>
            </w:r>
            <w:r w:rsidRPr="009637A7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e</w:t>
            </w:r>
            <w:r w:rsidRPr="009637A7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quinhentos</w:t>
            </w:r>
            <w:r w:rsidRPr="009637A7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e</w:t>
            </w:r>
            <w:r w:rsidRPr="009637A7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quarenta</w:t>
            </w:r>
            <w:r w:rsidRPr="009637A7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e</w:t>
            </w:r>
            <w:r w:rsidRPr="009637A7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sete</w:t>
            </w:r>
            <w:r w:rsidRPr="009637A7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reais</w:t>
            </w:r>
            <w:r w:rsidRPr="009637A7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e vinte e dois centavos) CADA</w:t>
            </w:r>
          </w:p>
        </w:tc>
      </w:tr>
      <w:tr w:rsidR="009637A7" w:rsidRPr="009637A7" w14:paraId="1AA22C76" w14:textId="77777777" w:rsidTr="0048492C">
        <w:trPr>
          <w:trHeight w:val="1274"/>
        </w:trPr>
        <w:tc>
          <w:tcPr>
            <w:tcW w:w="4393" w:type="dxa"/>
          </w:tcPr>
          <w:p w14:paraId="75C8DEB8" w14:textId="77777777" w:rsidR="009637A7" w:rsidRPr="009637A7" w:rsidRDefault="009637A7" w:rsidP="00300F3A">
            <w:pPr>
              <w:pStyle w:val="TableParagraph"/>
              <w:spacing w:before="113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6153CA5" w14:textId="77777777" w:rsidR="009637A7" w:rsidRPr="009637A7" w:rsidRDefault="009637A7" w:rsidP="00300F3A">
            <w:pPr>
              <w:pStyle w:val="TableParagraph"/>
              <w:spacing w:before="1"/>
              <w:ind w:left="40"/>
              <w:rPr>
                <w:rFonts w:ascii="Arial" w:hAnsi="Arial" w:cs="Arial"/>
                <w:sz w:val="24"/>
                <w:szCs w:val="24"/>
              </w:rPr>
            </w:pPr>
            <w:r w:rsidRPr="009637A7">
              <w:rPr>
                <w:rFonts w:ascii="Arial" w:hAnsi="Arial" w:cs="Arial"/>
                <w:sz w:val="24"/>
                <w:szCs w:val="24"/>
              </w:rPr>
              <w:t>GRUPO</w:t>
            </w:r>
            <w:r w:rsidRPr="009637A7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pacing w:val="-10"/>
                <w:sz w:val="24"/>
                <w:szCs w:val="24"/>
              </w:rPr>
              <w:t>A</w:t>
            </w:r>
          </w:p>
        </w:tc>
        <w:tc>
          <w:tcPr>
            <w:tcW w:w="5106" w:type="dxa"/>
          </w:tcPr>
          <w:p w14:paraId="67C44CE5" w14:textId="77777777" w:rsidR="009637A7" w:rsidRPr="009637A7" w:rsidRDefault="009637A7" w:rsidP="00300F3A">
            <w:pPr>
              <w:pStyle w:val="TableParagraph"/>
              <w:spacing w:before="110"/>
              <w:ind w:left="67"/>
              <w:rPr>
                <w:rFonts w:ascii="Arial" w:hAnsi="Arial" w:cs="Arial"/>
                <w:sz w:val="24"/>
                <w:szCs w:val="24"/>
              </w:rPr>
            </w:pPr>
            <w:r w:rsidRPr="009637A7">
              <w:rPr>
                <w:rFonts w:ascii="Arial" w:hAnsi="Arial" w:cs="Arial"/>
                <w:sz w:val="24"/>
                <w:szCs w:val="24"/>
              </w:rPr>
              <w:t>ATÉ</w:t>
            </w:r>
            <w:r w:rsidRPr="009637A7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R$</w:t>
            </w:r>
            <w:r w:rsidRPr="009637A7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237.720,38</w:t>
            </w:r>
            <w:r w:rsidRPr="009637A7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(duzentos</w:t>
            </w:r>
            <w:r w:rsidRPr="009637A7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e</w:t>
            </w:r>
            <w:r w:rsidRPr="009637A7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trinta</w:t>
            </w:r>
            <w:r w:rsidRPr="009637A7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e</w:t>
            </w:r>
            <w:r w:rsidRPr="009637A7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sete mil setecentos e vinte reais e trinta e</w:t>
            </w:r>
          </w:p>
          <w:p w14:paraId="70C6EDEA" w14:textId="77777777" w:rsidR="009637A7" w:rsidRPr="009637A7" w:rsidRDefault="009637A7" w:rsidP="00300F3A">
            <w:pPr>
              <w:pStyle w:val="TableParagraph"/>
              <w:spacing w:before="3"/>
              <w:rPr>
                <w:rFonts w:ascii="Arial" w:hAnsi="Arial" w:cs="Arial"/>
                <w:sz w:val="24"/>
                <w:szCs w:val="24"/>
              </w:rPr>
            </w:pPr>
            <w:r w:rsidRPr="009637A7">
              <w:rPr>
                <w:rFonts w:ascii="Arial" w:hAnsi="Arial" w:cs="Arial"/>
                <w:sz w:val="24"/>
                <w:szCs w:val="24"/>
              </w:rPr>
              <w:t>oito</w:t>
            </w:r>
            <w:r w:rsidRPr="009637A7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centavos)</w:t>
            </w:r>
            <w:r w:rsidRPr="009637A7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pacing w:val="-4"/>
                <w:sz w:val="24"/>
                <w:szCs w:val="24"/>
              </w:rPr>
              <w:t>CADA</w:t>
            </w:r>
          </w:p>
        </w:tc>
      </w:tr>
      <w:tr w:rsidR="009637A7" w:rsidRPr="009637A7" w14:paraId="599A0C21" w14:textId="77777777" w:rsidTr="0048492C">
        <w:trPr>
          <w:trHeight w:val="1274"/>
        </w:trPr>
        <w:tc>
          <w:tcPr>
            <w:tcW w:w="4393" w:type="dxa"/>
          </w:tcPr>
          <w:p w14:paraId="5A90677C" w14:textId="77777777" w:rsidR="009637A7" w:rsidRPr="009637A7" w:rsidRDefault="009637A7" w:rsidP="00300F3A">
            <w:pPr>
              <w:pStyle w:val="TableParagraph"/>
              <w:spacing w:before="114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0DED7DC" w14:textId="77777777" w:rsidR="009637A7" w:rsidRPr="009637A7" w:rsidRDefault="009637A7" w:rsidP="00300F3A">
            <w:pPr>
              <w:pStyle w:val="TableParagraph"/>
              <w:ind w:left="40" w:right="5"/>
              <w:rPr>
                <w:rFonts w:ascii="Arial" w:hAnsi="Arial" w:cs="Arial"/>
                <w:sz w:val="24"/>
                <w:szCs w:val="24"/>
              </w:rPr>
            </w:pPr>
            <w:r w:rsidRPr="009637A7">
              <w:rPr>
                <w:rFonts w:ascii="Arial" w:hAnsi="Arial" w:cs="Arial"/>
                <w:sz w:val="24"/>
                <w:szCs w:val="24"/>
              </w:rPr>
              <w:t>GRUPO</w:t>
            </w:r>
            <w:r w:rsidRPr="009637A7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pacing w:val="-10"/>
                <w:sz w:val="24"/>
                <w:szCs w:val="24"/>
              </w:rPr>
              <w:t>B</w:t>
            </w:r>
          </w:p>
        </w:tc>
        <w:tc>
          <w:tcPr>
            <w:tcW w:w="5106" w:type="dxa"/>
          </w:tcPr>
          <w:p w14:paraId="300C0EA1" w14:textId="77777777" w:rsidR="009637A7" w:rsidRPr="009637A7" w:rsidRDefault="009637A7" w:rsidP="00300F3A">
            <w:pPr>
              <w:pStyle w:val="TableParagraph"/>
              <w:spacing w:before="112"/>
              <w:ind w:left="230" w:right="167" w:hanging="2"/>
              <w:rPr>
                <w:rFonts w:ascii="Arial" w:hAnsi="Arial" w:cs="Arial"/>
                <w:sz w:val="24"/>
                <w:szCs w:val="24"/>
              </w:rPr>
            </w:pPr>
            <w:r w:rsidRPr="009637A7">
              <w:rPr>
                <w:rFonts w:ascii="Arial" w:hAnsi="Arial" w:cs="Arial"/>
                <w:sz w:val="24"/>
                <w:szCs w:val="24"/>
              </w:rPr>
              <w:t>ATÉ R$ 140.471,13 (cento e quarenta mil quatrocentos</w:t>
            </w:r>
            <w:r w:rsidRPr="009637A7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e</w:t>
            </w:r>
            <w:r w:rsidRPr="009637A7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setenta</w:t>
            </w:r>
            <w:r w:rsidRPr="009637A7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e</w:t>
            </w:r>
            <w:r w:rsidRPr="009637A7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um</w:t>
            </w:r>
            <w:r w:rsidRPr="009637A7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reais</w:t>
            </w:r>
            <w:r w:rsidRPr="009637A7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e</w:t>
            </w:r>
            <w:r w:rsidRPr="009637A7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treze centavos) CADA</w:t>
            </w:r>
          </w:p>
        </w:tc>
      </w:tr>
      <w:tr w:rsidR="009637A7" w:rsidRPr="009637A7" w14:paraId="64FE529C" w14:textId="77777777" w:rsidTr="0048492C">
        <w:trPr>
          <w:trHeight w:val="1278"/>
        </w:trPr>
        <w:tc>
          <w:tcPr>
            <w:tcW w:w="4393" w:type="dxa"/>
          </w:tcPr>
          <w:p w14:paraId="05D03F6F" w14:textId="77777777" w:rsidR="009637A7" w:rsidRPr="009637A7" w:rsidRDefault="009637A7" w:rsidP="00300F3A">
            <w:pPr>
              <w:pStyle w:val="TableParagraph"/>
              <w:spacing w:before="116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11E38F4" w14:textId="77777777" w:rsidR="009637A7" w:rsidRPr="009637A7" w:rsidRDefault="009637A7" w:rsidP="00300F3A">
            <w:pPr>
              <w:pStyle w:val="TableParagraph"/>
              <w:ind w:left="40" w:right="3"/>
              <w:rPr>
                <w:rFonts w:ascii="Arial" w:hAnsi="Arial" w:cs="Arial"/>
                <w:sz w:val="24"/>
                <w:szCs w:val="24"/>
              </w:rPr>
            </w:pPr>
            <w:r w:rsidRPr="009637A7">
              <w:rPr>
                <w:rFonts w:ascii="Arial" w:hAnsi="Arial" w:cs="Arial"/>
                <w:sz w:val="24"/>
                <w:szCs w:val="24"/>
              </w:rPr>
              <w:t>GRUPO</w:t>
            </w:r>
            <w:r w:rsidRPr="009637A7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pacing w:val="-10"/>
                <w:sz w:val="24"/>
                <w:szCs w:val="24"/>
              </w:rPr>
              <w:t>C</w:t>
            </w:r>
          </w:p>
        </w:tc>
        <w:tc>
          <w:tcPr>
            <w:tcW w:w="5106" w:type="dxa"/>
          </w:tcPr>
          <w:p w14:paraId="1F7BA1E3" w14:textId="77777777" w:rsidR="009637A7" w:rsidRPr="009637A7" w:rsidRDefault="009637A7" w:rsidP="00300F3A">
            <w:pPr>
              <w:pStyle w:val="TableParagraph"/>
              <w:spacing w:before="88" w:line="259" w:lineRule="auto"/>
              <w:ind w:left="174" w:right="76"/>
              <w:rPr>
                <w:rFonts w:ascii="Arial" w:hAnsi="Arial" w:cs="Arial"/>
                <w:sz w:val="24"/>
                <w:szCs w:val="24"/>
              </w:rPr>
            </w:pPr>
            <w:r w:rsidRPr="009637A7">
              <w:rPr>
                <w:rFonts w:ascii="Arial" w:hAnsi="Arial" w:cs="Arial"/>
                <w:sz w:val="24"/>
                <w:szCs w:val="24"/>
              </w:rPr>
              <w:t>ATÉ</w:t>
            </w:r>
            <w:r w:rsidRPr="009637A7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R$</w:t>
            </w:r>
            <w:r w:rsidRPr="009637A7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75.638,31</w:t>
            </w:r>
            <w:r w:rsidRPr="009637A7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(setenta</w:t>
            </w:r>
            <w:r w:rsidRPr="009637A7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e</w:t>
            </w:r>
            <w:r w:rsidRPr="009637A7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cinco</w:t>
            </w:r>
            <w:r w:rsidRPr="009637A7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mil</w:t>
            </w:r>
            <w:r w:rsidRPr="009637A7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9637A7">
              <w:rPr>
                <w:rFonts w:ascii="Arial" w:hAnsi="Arial" w:cs="Arial"/>
                <w:sz w:val="24"/>
                <w:szCs w:val="24"/>
              </w:rPr>
              <w:t>reais e seiscentos e trinta e oito mil e trinta e um centavos) CADA</w:t>
            </w:r>
          </w:p>
        </w:tc>
      </w:tr>
    </w:tbl>
    <w:p w14:paraId="761173E3" w14:textId="77777777" w:rsidR="009637A7" w:rsidRPr="00CF687A" w:rsidRDefault="009637A7" w:rsidP="009637A7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</w:p>
    <w:sectPr w:rsidR="009637A7" w:rsidRPr="00CF687A">
      <w:headerReference w:type="default" r:id="rId7"/>
      <w:pgSz w:w="11900" w:h="16840"/>
      <w:pgMar w:top="1701" w:right="1134" w:bottom="1134" w:left="1701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A05A3" w14:textId="77777777" w:rsidR="00235A9A" w:rsidRDefault="00235A9A">
      <w:r>
        <w:separator/>
      </w:r>
    </w:p>
  </w:endnote>
  <w:endnote w:type="continuationSeparator" w:id="0">
    <w:p w14:paraId="19F3086F" w14:textId="77777777" w:rsidR="00235A9A" w:rsidRDefault="00235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FD107" w14:textId="77777777" w:rsidR="00235A9A" w:rsidRDefault="00235A9A">
      <w:r>
        <w:separator/>
      </w:r>
    </w:p>
  </w:footnote>
  <w:footnote w:type="continuationSeparator" w:id="0">
    <w:p w14:paraId="71ECD42F" w14:textId="77777777" w:rsidR="00235A9A" w:rsidRDefault="00235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71946" w14:textId="77777777" w:rsidR="008D229A" w:rsidRDefault="008D229A">
    <w:pPr>
      <w:pStyle w:val="Cabealho"/>
      <w:jc w:val="center"/>
    </w:pPr>
  </w:p>
  <w:p w14:paraId="1415FB0B" w14:textId="32A23139" w:rsidR="00262599" w:rsidRDefault="008D229A">
    <w:pPr>
      <w:pStyle w:val="Cabealho"/>
      <w:jc w:val="center"/>
    </w:pPr>
    <w:r w:rsidRPr="00134827">
      <w:rPr>
        <w:noProof/>
      </w:rPr>
      <w:drawing>
        <wp:inline distT="0" distB="0" distL="0" distR="0" wp14:anchorId="654F5C47" wp14:editId="3093F40D">
          <wp:extent cx="2510564" cy="504825"/>
          <wp:effectExtent l="0" t="0" r="4445" b="0"/>
          <wp:docPr id="212066222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066222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38456" cy="510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A4CB39" w14:textId="77777777" w:rsidR="008D229A" w:rsidRDefault="008D229A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061CA"/>
    <w:multiLevelType w:val="hybridMultilevel"/>
    <w:tmpl w:val="83CEFFE6"/>
    <w:lvl w:ilvl="0" w:tplc="0A92D75C">
      <w:start w:val="1"/>
      <w:numFmt w:val="decimal"/>
      <w:lvlText w:val="%1)"/>
      <w:lvlJc w:val="left"/>
      <w:pPr>
        <w:ind w:left="1065" w:hanging="360"/>
      </w:p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CC611C8"/>
    <w:multiLevelType w:val="hybridMultilevel"/>
    <w:tmpl w:val="6D26D5DA"/>
    <w:lvl w:ilvl="0" w:tplc="70143C1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0152339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89902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9"/>
    <w:rsid w:val="00000D23"/>
    <w:rsid w:val="0000695B"/>
    <w:rsid w:val="00036D56"/>
    <w:rsid w:val="001417A5"/>
    <w:rsid w:val="001966B0"/>
    <w:rsid w:val="001C5D3E"/>
    <w:rsid w:val="00235A9A"/>
    <w:rsid w:val="00262599"/>
    <w:rsid w:val="00287717"/>
    <w:rsid w:val="002B3AC3"/>
    <w:rsid w:val="00326F31"/>
    <w:rsid w:val="00353938"/>
    <w:rsid w:val="00386A70"/>
    <w:rsid w:val="003E23E5"/>
    <w:rsid w:val="0048492C"/>
    <w:rsid w:val="004B115A"/>
    <w:rsid w:val="004F287E"/>
    <w:rsid w:val="00550686"/>
    <w:rsid w:val="00582170"/>
    <w:rsid w:val="005C7D55"/>
    <w:rsid w:val="005E09DB"/>
    <w:rsid w:val="00660C30"/>
    <w:rsid w:val="00677CB4"/>
    <w:rsid w:val="00684460"/>
    <w:rsid w:val="006B6B59"/>
    <w:rsid w:val="007430D4"/>
    <w:rsid w:val="00762884"/>
    <w:rsid w:val="00796E77"/>
    <w:rsid w:val="00797EE0"/>
    <w:rsid w:val="007A538F"/>
    <w:rsid w:val="00864E86"/>
    <w:rsid w:val="008D229A"/>
    <w:rsid w:val="008E39F5"/>
    <w:rsid w:val="009637A7"/>
    <w:rsid w:val="009B255A"/>
    <w:rsid w:val="009E72CC"/>
    <w:rsid w:val="00A208A0"/>
    <w:rsid w:val="00A2658C"/>
    <w:rsid w:val="00A453CA"/>
    <w:rsid w:val="00A810AD"/>
    <w:rsid w:val="00A91991"/>
    <w:rsid w:val="00AD2E95"/>
    <w:rsid w:val="00B746FB"/>
    <w:rsid w:val="00BD05CD"/>
    <w:rsid w:val="00C25A1D"/>
    <w:rsid w:val="00C56799"/>
    <w:rsid w:val="00CE3D80"/>
    <w:rsid w:val="00CF0AEE"/>
    <w:rsid w:val="00CF687A"/>
    <w:rsid w:val="00D10D8A"/>
    <w:rsid w:val="00D23EFB"/>
    <w:rsid w:val="00D321C8"/>
    <w:rsid w:val="00D5030E"/>
    <w:rsid w:val="00D60964"/>
    <w:rsid w:val="00DB12E5"/>
    <w:rsid w:val="00E21B77"/>
    <w:rsid w:val="00F2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ED791"/>
  <w15:docId w15:val="{F1FF1E37-A0A1-4208-AB65-DFC03D08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uiPriority w:val="2"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pPr>
      <w:tabs>
        <w:tab w:val="center" w:pos="4419"/>
        <w:tab w:val="right" w:pos="8838"/>
      </w:tabs>
      <w:spacing w:after="120" w:line="360" w:lineRule="auto"/>
      <w:jc w:val="both"/>
    </w:pPr>
    <w:rPr>
      <w:rFonts w:cs="Arial Unicode MS"/>
      <w:color w:val="000000"/>
      <w:u w:color="000000"/>
      <w:lang w:val="pt-PT"/>
    </w:r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orpoA">
    <w:name w:val="Corpo A"/>
    <w:pPr>
      <w:spacing w:after="120" w:line="360" w:lineRule="auto"/>
      <w:jc w:val="both"/>
    </w:pPr>
    <w:rPr>
      <w:rFonts w:cs="Arial Unicode MS"/>
      <w:color w:val="000000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">
    <w:name w:val="Corpo A A"/>
    <w:pPr>
      <w:spacing w:after="120" w:line="360" w:lineRule="auto"/>
      <w:jc w:val="both"/>
    </w:pPr>
    <w:rPr>
      <w:rFonts w:eastAsia="Times New Roman"/>
      <w:color w:val="000000"/>
      <w:sz w:val="24"/>
      <w:szCs w:val="24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A">
    <w:name w:val="Corpo A A A"/>
    <w:pPr>
      <w:spacing w:after="200" w:line="276" w:lineRule="auto"/>
      <w:jc w:val="both"/>
    </w:pPr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22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29A"/>
    <w:rPr>
      <w:sz w:val="24"/>
      <w:szCs w:val="24"/>
      <w:lang w:val="en-US" w:eastAsia="en-US"/>
    </w:rPr>
  </w:style>
  <w:style w:type="table" w:styleId="Tabelacomgrade">
    <w:name w:val="Table Grid"/>
    <w:basedOn w:val="Tabelanormal"/>
    <w:uiPriority w:val="39"/>
    <w:rsid w:val="000069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9637A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spacing w:before="210"/>
      <w:ind w:left="139" w:hanging="10"/>
      <w:jc w:val="both"/>
    </w:pPr>
    <w:rPr>
      <w:rFonts w:ascii="Calibri" w:eastAsia="Calibri" w:hAnsi="Calibri" w:cs="Calibri"/>
      <w:sz w:val="28"/>
      <w:szCs w:val="28"/>
      <w:bdr w:val="none" w:sz="0" w:space="0" w:color="auto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637A7"/>
    <w:rPr>
      <w:rFonts w:ascii="Calibri" w:eastAsia="Calibri" w:hAnsi="Calibri" w:cs="Calibri"/>
      <w:sz w:val="28"/>
      <w:szCs w:val="28"/>
      <w:bdr w:val="none" w:sz="0" w:space="0" w:color="auto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9637A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jc w:val="center"/>
    </w:pPr>
    <w:rPr>
      <w:rFonts w:ascii="Calibri" w:eastAsia="Calibri" w:hAnsi="Calibri" w:cs="Calibri"/>
      <w:sz w:val="22"/>
      <w:szCs w:val="22"/>
      <w:bdr w:val="none" w:sz="0" w:space="0" w:color="auto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50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11</Pages>
  <Words>2642</Words>
  <Characters>14273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Gimenez Saint Martin</dc:creator>
  <cp:lastModifiedBy>Carlos Leandro Medeiros</cp:lastModifiedBy>
  <cp:revision>16</cp:revision>
  <cp:lastPrinted>2025-10-21T13:54:00Z</cp:lastPrinted>
  <dcterms:created xsi:type="dcterms:W3CDTF">2025-04-09T20:12:00Z</dcterms:created>
  <dcterms:modified xsi:type="dcterms:W3CDTF">2025-10-21T13:54:00Z</dcterms:modified>
</cp:coreProperties>
</file>