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MODIFICATIVA  AO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Equipamento Hospitalar de Densitometria Óssea Implantado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Programa– Atenção à Saúde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– Atenção à Saúde,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9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5"/>
        <w:gridCol w:w="795"/>
        <w:gridCol w:w="900"/>
        <w:gridCol w:w="405"/>
        <w:gridCol w:w="795"/>
        <w:gridCol w:w="960"/>
        <w:gridCol w:w="345"/>
        <w:gridCol w:w="1245"/>
        <w:gridCol w:w="960"/>
        <w:gridCol w:w="840"/>
        <w:gridCol w:w="480"/>
        <w:gridCol w:w="1380"/>
        <w:gridCol w:w="915"/>
        <w:gridCol w:w="900"/>
        <w:gridCol w:w="885"/>
        <w:gridCol w:w="1440"/>
        <w:tblGridChange w:id="0">
          <w:tblGrid>
            <w:gridCol w:w="945"/>
            <w:gridCol w:w="795"/>
            <w:gridCol w:w="900"/>
            <w:gridCol w:w="405"/>
            <w:gridCol w:w="795"/>
            <w:gridCol w:w="960"/>
            <w:gridCol w:w="345"/>
            <w:gridCol w:w="1245"/>
            <w:gridCol w:w="960"/>
            <w:gridCol w:w="840"/>
            <w:gridCol w:w="480"/>
            <w:gridCol w:w="1380"/>
            <w:gridCol w:w="915"/>
            <w:gridCol w:w="900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85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C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" w:lineRule="auto"/>
              <w:ind w:left="36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bookmarkStart w:colFirst="0" w:colLast="0" w:name="_heading=h.mvf6qro6c30m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C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Equipamento Hospitalar de Densitometria Óssea mantido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0" w:lineRule="auto"/>
              <w:ind w:left="158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C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Manter o funcionamento dos equipamentos de densitometria óssea implantados na rede municipal de saúde, assegurando o custeio para manutenção técnica, calibração, atualização de software e qualificação continuada dos profissionais responsáveis. O objetivo é garantir a qualidade dos diagnósticos e a sustentabilidade do serviço implantado. 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38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C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 </w:t>
            </w:r>
          </w:p>
          <w:p w:rsidR="00000000" w:rsidDel="00000000" w:rsidP="00000000" w:rsidRDefault="00000000" w:rsidRPr="00000000" w14:paraId="000000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573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336" w:right="324" w:firstLine="7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152" w:right="130" w:firstLine="343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5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bookmarkStart w:colFirst="0" w:colLast="0" w:name="_heading=h.epdq0mhznbts" w:id="1"/>
            <w:bookmarkEnd w:id="1"/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Saudável; Niterói por Elas; Niterói Primeira Infância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1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8" w:line="19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5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4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12" w:right="200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9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62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30" w:right="202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70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07" w:right="185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44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1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29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7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7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2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1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73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260.000,00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280.000,00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E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spacing w:before="13" w:lineRule="auto"/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4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985"/>
                <w:tab w:val="center" w:leader="none" w:pos="3537"/>
              </w:tabs>
              <w:spacing w:before="68" w:lineRule="auto"/>
              <w:ind w:left="3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540.000,00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8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A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 (s) Programa (s) o valor emendado será compensado. O programa de origem pode ser o mesmo citado no Artigo 1º.</w:t>
      </w:r>
    </w:p>
    <w:p w:rsidR="00000000" w:rsidDel="00000000" w:rsidP="00000000" w:rsidRDefault="00000000" w:rsidRPr="00000000" w14:paraId="000000E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80" w:lineRule="auto"/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E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manutenção dos equipamentos de densitometria óssea é indispensável para garantir a confiabilidade e precisão dos diagnósticos realizados. A calibração periódica e o suporte especializado asseguram a longevidade do investimento e evitam paralisações nos serviços de imagem. Com o custeio adequado, Niterói fortalece sua rede de diagnóstico precoce e mantém a qualidade do atendimento à população idosa e feminina, reduzindo riscos de fraturas e melhorando a gestão da saúde preventiva no município.</w:t>
      </w:r>
    </w:p>
    <w:p w:rsidR="00000000" w:rsidDel="00000000" w:rsidP="00000000" w:rsidRDefault="00000000" w:rsidRPr="00000000" w14:paraId="000000EF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16 de outubro de 2025.</w:t>
      </w:r>
    </w:p>
    <w:p w:rsidR="00000000" w:rsidDel="00000000" w:rsidP="00000000" w:rsidRDefault="00000000" w:rsidRPr="00000000" w14:paraId="000000F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8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65" name="image1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0FA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headerReference r:id="rId8" w:type="default"/>
      <w:pgSz w:h="11920" w:w="16840" w:orient="landscape"/>
      <w:pgMar w:bottom="280" w:top="2380" w:left="1417" w:right="1133" w:header="75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6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4478286</wp:posOffset>
              </wp:positionH>
              <wp:positionV relativeFrom="page">
                <wp:posOffset>915917</wp:posOffset>
              </wp:positionV>
              <wp:extent cx="2278380" cy="295275"/>
              <wp:effectExtent b="0" l="0" r="0" t="0"/>
              <wp:wrapNone/>
              <wp:docPr id="1633363762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8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4478286</wp:posOffset>
              </wp:positionH>
              <wp:positionV relativeFrom="page">
                <wp:posOffset>915917</wp:posOffset>
              </wp:positionV>
              <wp:extent cx="2278380" cy="295275"/>
              <wp:effectExtent b="0" l="0" r="0" t="0"/>
              <wp:wrapNone/>
              <wp:docPr id="163336376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78380" cy="2952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4313199</wp:posOffset>
              </wp:positionH>
              <wp:positionV relativeFrom="page">
                <wp:posOffset>1282765</wp:posOffset>
              </wp:positionV>
              <wp:extent cx="2691130" cy="295275"/>
              <wp:effectExtent b="0" l="0" r="0" t="0"/>
              <wp:wrapNone/>
              <wp:docPr id="1633363763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8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4313199</wp:posOffset>
              </wp:positionH>
              <wp:positionV relativeFrom="page">
                <wp:posOffset>1282765</wp:posOffset>
              </wp:positionV>
              <wp:extent cx="2691130" cy="295275"/>
              <wp:effectExtent b="0" l="0" r="0" t="0"/>
              <wp:wrapNone/>
              <wp:docPr id="1633363763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91130" cy="2952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3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a" w:customStyle="1">
    <w:basedOn w:val="TableNormal3"/>
    <w:tblPr>
      <w:tblStyleRowBandSize w:val="1"/>
      <w:tblStyleColBandSize w:val="1"/>
    </w:tblPr>
  </w:style>
  <w:style w:type="table" w:styleId="a0" w:customStyle="1">
    <w:basedOn w:val="TableNormal3"/>
    <w:tblPr>
      <w:tblStyleRowBandSize w:val="1"/>
      <w:tblStyleColBandSize w:val="1"/>
    </w:tblPr>
  </w:style>
  <w:style w:type="table" w:styleId="a1" w:customStyle="1">
    <w:basedOn w:val="TableNormal3"/>
    <w:tblPr>
      <w:tblStyleRowBandSize w:val="1"/>
      <w:tblStyleColBandSize w:val="1"/>
    </w:tblPr>
  </w:style>
  <w:style w:type="table" w:styleId="a2" w:customStyle="1">
    <w:basedOn w:val="TableNormal3"/>
    <w:tblPr>
      <w:tblStyleRowBandSize w:val="1"/>
      <w:tblStyleColBandSize w:val="1"/>
    </w:tblPr>
  </w:style>
  <w:style w:type="table" w:styleId="a3" w:customStyle="1">
    <w:basedOn w:val="TableNormal3"/>
    <w:tblPr>
      <w:tblStyleRowBandSize w:val="1"/>
      <w:tblStyleColBandSize w:val="1"/>
    </w:tblPr>
  </w:style>
  <w:style w:type="table" w:styleId="a4" w:customStyle="1">
    <w:basedOn w:val="TableNormal3"/>
    <w:tblPr>
      <w:tblStyleRowBandSize w:val="1"/>
      <w:tblStyleColBandSize w:val="1"/>
    </w:tblPr>
  </w:style>
  <w:style w:type="table" w:styleId="a5" w:customStyle="1">
    <w:basedOn w:val="TableNormal3"/>
    <w:tblPr>
      <w:tblStyleRowBandSize w:val="1"/>
      <w:tblStyleColBandSize w:val="1"/>
    </w:tblPr>
  </w:style>
  <w:style w:type="table" w:styleId="a6" w:customStyle="1">
    <w:basedOn w:val="TableNormal3"/>
    <w:tblPr>
      <w:tblStyleRowBandSize w:val="1"/>
      <w:tblStyleColBandSize w:val="1"/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I9R1bP9FlAaSc6VNAmlD981vyg==">CgMxLjAyDmgubXZmNnFybzZjMzBtMg5oLmVwZHEwbWh6bmJ0czgAciExdXhqUmtuRmZhdGlOTS1MSFRfOGlsaC0tR0FjT0kxWmM=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2025-09-23T17:18:00Z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