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bookmarkStart w:colFirst="0" w:colLast="0" w:name="_heading=h.u7ftkt552y8o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MODIFICATIVA  AO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Educação Inclusiva com Libras implantada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 0096 – Educação para todos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Programa 0096 – Educação para Todos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85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EDUCAÇÃO PARA TODOS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Rule="auto"/>
              <w:ind w:left="36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Educação Inclusiva com Libras implantada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Rule="auto"/>
              <w:ind w:left="15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Manter o funcionamento do programa de ensino de Libras (Língua Brasileira de Sinais) nas escolas municipais, assegurando a continuidade das turmas implantadas e a expansão da política de acessibilidade comunicacional e inclusão bilíngue.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38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336" w:right="324" w:firstLine="7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ÓRGÃO GESTOR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spacing w:after="240" w:befor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SME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52" w:right="130" w:firstLine="343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por Elas; Niterói Primeira Infância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1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8" w:line="19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5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12" w:right="200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9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62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30" w:right="202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0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07" w:right="185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44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1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29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7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7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2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0">
            <w:pPr>
              <w:spacing w:after="240" w:befor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1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180.000,00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3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Niteroi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2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3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7">
            <w:pPr>
              <w:spacing w:after="240" w:befor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Gestão e Inovação Pública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380.000,00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B">
            <w:pPr>
              <w:spacing w:after="240" w:befor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spacing w:after="240" w:befor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D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 (s) Programa (s) o valor emendado será compensado. O programa de origem pode ser o mesmo citado no Artigo 1º.</w:t>
      </w:r>
    </w:p>
    <w:p w:rsidR="00000000" w:rsidDel="00000000" w:rsidP="00000000" w:rsidRDefault="00000000" w:rsidRPr="00000000" w14:paraId="000000E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80" w:lineRule="auto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1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A manutenção do programa de Libras garante a continuidade pedagógica e o fortalecimento das ações de inclusão comunicacional já iniciadas na rede municipal de ensino. O custeio assegura a permanência dos profissionais especializados, a atualização dos materiais didáticos bilíngues e o funcionamento regular das turmas implantadas.</w:t>
      </w:r>
    </w:p>
    <w:p w:rsidR="00000000" w:rsidDel="00000000" w:rsidP="00000000" w:rsidRDefault="00000000" w:rsidRPr="00000000" w14:paraId="000000F2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Além de cumprir os princípios de acessibilidade e equidade previstos nas diretrizes nacionais de educação inclusiva, o programa consolida uma rede escolar mais humanizada e sensível às diversidades. A ação contribui diretamente para a melhoria da aprendizagem, para o convívio respeitoso e para o fortalecimento dos vínculos comunitários no ambiente escolar.</w:t>
      </w:r>
    </w:p>
    <w:p w:rsidR="00000000" w:rsidDel="00000000" w:rsidP="00000000" w:rsidRDefault="00000000" w:rsidRPr="00000000" w14:paraId="000000F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22 de setembro de 2025.</w:t>
      </w:r>
    </w:p>
    <w:p w:rsidR="00000000" w:rsidDel="00000000" w:rsidP="00000000" w:rsidRDefault="00000000" w:rsidRPr="00000000" w14:paraId="000000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8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65" name="image2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0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6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4478286</wp:posOffset>
              </wp:positionH>
              <wp:positionV relativeFrom="page">
                <wp:posOffset>915917</wp:posOffset>
              </wp:positionV>
              <wp:extent cx="2278380" cy="295275"/>
              <wp:effectExtent b="0" l="0" r="0" t="0"/>
              <wp:wrapNone/>
              <wp:docPr id="1633363762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8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4478286</wp:posOffset>
              </wp:positionH>
              <wp:positionV relativeFrom="page">
                <wp:posOffset>915917</wp:posOffset>
              </wp:positionV>
              <wp:extent cx="2278380" cy="295275"/>
              <wp:effectExtent b="0" l="0" r="0" t="0"/>
              <wp:wrapNone/>
              <wp:docPr id="163336376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78380" cy="2952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4313199</wp:posOffset>
              </wp:positionH>
              <wp:positionV relativeFrom="page">
                <wp:posOffset>1282765</wp:posOffset>
              </wp:positionV>
              <wp:extent cx="2691130" cy="295275"/>
              <wp:effectExtent b="0" l="0" r="0" t="0"/>
              <wp:wrapNone/>
              <wp:docPr id="1633363763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8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4313199</wp:posOffset>
              </wp:positionH>
              <wp:positionV relativeFrom="page">
                <wp:posOffset>1282765</wp:posOffset>
              </wp:positionV>
              <wp:extent cx="2691130" cy="295275"/>
              <wp:effectExtent b="0" l="0" r="0" t="0"/>
              <wp:wrapNone/>
              <wp:docPr id="163336376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91130" cy="2952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a" w:customStyle="1">
    <w:basedOn w:val="TableNormal3"/>
    <w:tblPr>
      <w:tblStyleRowBandSize w:val="1"/>
      <w:tblStyleColBandSize w:val="1"/>
    </w:tblPr>
  </w:style>
  <w:style w:type="table" w:styleId="a0" w:customStyle="1">
    <w:basedOn w:val="TableNormal3"/>
    <w:tblPr>
      <w:tblStyleRowBandSize w:val="1"/>
      <w:tblStyleColBandSize w:val="1"/>
    </w:tblPr>
  </w:style>
  <w:style w:type="table" w:styleId="a1" w:customStyle="1">
    <w:basedOn w:val="TableNormal3"/>
    <w:tblPr>
      <w:tblStyleRowBandSize w:val="1"/>
      <w:tblStyleColBandSize w:val="1"/>
    </w:tblPr>
  </w:style>
  <w:style w:type="table" w:styleId="a2" w:customStyle="1">
    <w:basedOn w:val="TableNormal3"/>
    <w:tblPr>
      <w:tblStyleRowBandSize w:val="1"/>
      <w:tblStyleColBandSize w:val="1"/>
    </w:tblPr>
  </w:style>
  <w:style w:type="table" w:styleId="a3" w:customStyle="1">
    <w:basedOn w:val="TableNormal3"/>
    <w:tblPr>
      <w:tblStyleRowBandSize w:val="1"/>
      <w:tblStyleColBandSize w:val="1"/>
    </w:tblPr>
  </w:style>
  <w:style w:type="table" w:styleId="a4" w:customStyle="1">
    <w:basedOn w:val="TableNormal3"/>
    <w:tblPr>
      <w:tblStyleRowBandSize w:val="1"/>
      <w:tblStyleColBandSize w:val="1"/>
    </w:tblPr>
  </w:style>
  <w:style w:type="table" w:styleId="a5" w:customStyle="1">
    <w:basedOn w:val="TableNormal3"/>
    <w:tblPr>
      <w:tblStyleRowBandSize w:val="1"/>
      <w:tblStyleColBandSize w:val="1"/>
    </w:tblPr>
  </w:style>
  <w:style w:type="table" w:styleId="a6" w:customStyle="1">
    <w:basedOn w:val="TableNormal3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sMZtmovQKt07VZcH1zbKhtqpRQ==">CgMxLjAyDmgudTdmdGt0NTUyeThvMg5oLmVwZHEwbWh6bmJ0czgAciExb3pwOVd3dDY1RVd2NkU2ZG5Cc3dUMHhuek12SnA5V2E=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2025-09-23T18:36:00Z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