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Centro de Apoio a Pacientes com Doenças Autoimunes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Atenção à Saúde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before="33" w:line="226" w:lineRule="auto"/>
              <w:ind w:left="7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Centro de Apoio a Pacientes com Doenças Autoimunes mantido 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e operacionalizar o Centro de Apoio a Pacientes com Doenças Autoimunes, assegurando equipe multiprofissional, aquisição de insumos, serviços de apoio diagnóstico e programas de educação em saúde voltados à prevenção e ao manejo das doenças autoimunes.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Antirracista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900.000,00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1">
            <w:pPr>
              <w:spacing w:before="208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1.000.000,00</w:t>
            </w:r>
          </w:p>
          <w:p w:rsidR="00000000" w:rsidDel="00000000" w:rsidP="00000000" w:rsidRDefault="00000000" w:rsidRPr="00000000" w14:paraId="00000092">
            <w:pPr>
              <w:spacing w:before="208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8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F">
            <w:pP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1.900.000,00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F3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4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Centro de Apoio a Pacientes com Doenças Autoimunes é fundamental para garantir a continuidade do cuidado e o fortalecimento da rede de atenção especializada em Niterói.</w:t>
      </w:r>
    </w:p>
    <w:p w:rsidR="00000000" w:rsidDel="00000000" w:rsidP="00000000" w:rsidRDefault="00000000" w:rsidRPr="00000000" w14:paraId="000000FA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custeio assegura a oferta permanente de serviços clínicos, terapêuticos e de suporte psicossocial, garantindo o funcionamento pleno da unidade implantada.</w:t>
      </w:r>
    </w:p>
    <w:p w:rsidR="00000000" w:rsidDel="00000000" w:rsidP="00000000" w:rsidRDefault="00000000" w:rsidRPr="00000000" w14:paraId="000000F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proposta contribui para a sustentabilidade das políticas públicas de saúde, reforçando o compromisso municipal com a inclusão, o acesso e a equidade no atendimento de populações com doenças crônicas complexas.</w:t>
      </w:r>
    </w:p>
    <w:p w:rsidR="00000000" w:rsidDel="00000000" w:rsidP="00000000" w:rsidRDefault="00000000" w:rsidRPr="00000000" w14:paraId="000000FC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5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4502096</wp:posOffset>
              </wp:positionH>
              <wp:positionV relativeFrom="page">
                <wp:posOffset>939727</wp:posOffset>
              </wp:positionV>
              <wp:extent cx="2230755" cy="247650"/>
              <wp:effectExtent b="0" l="0" r="0" t="0"/>
              <wp:wrapNone/>
              <wp:docPr id="163336374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4502096</wp:posOffset>
              </wp:positionH>
              <wp:positionV relativeFrom="page">
                <wp:posOffset>939727</wp:posOffset>
              </wp:positionV>
              <wp:extent cx="2230755" cy="247650"/>
              <wp:effectExtent b="0" l="0" r="0" t="0"/>
              <wp:wrapNone/>
              <wp:docPr id="163336374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30755" cy="247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4337009</wp:posOffset>
              </wp:positionH>
              <wp:positionV relativeFrom="page">
                <wp:posOffset>1306577</wp:posOffset>
              </wp:positionV>
              <wp:extent cx="2644818" cy="247650"/>
              <wp:effectExtent b="0" l="0" r="0" t="0"/>
              <wp:wrapNone/>
              <wp:docPr id="163336374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4337009</wp:posOffset>
              </wp:positionH>
              <wp:positionV relativeFrom="page">
                <wp:posOffset>1306577</wp:posOffset>
              </wp:positionV>
              <wp:extent cx="2644818" cy="247650"/>
              <wp:effectExtent b="0" l="0" r="0" t="0"/>
              <wp:wrapNone/>
              <wp:docPr id="163336374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44818" cy="247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c/RZxrZjg0phI5o41mPlUHiAsg==">CgMxLjA4AHIhMTZPWWt6WDFqMEt1NVY3TFh5OGFubGdhTmJrYVFsX0lw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2025-09-17T22:56:00Z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