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7E22BB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>EMENDA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Nº.</w:t>
      </w:r>
      <w:r w:rsidRPr="007E22BB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000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7E22BB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AO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PROJETO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DE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LEI</w:t>
      </w:r>
      <w:r w:rsidRPr="007E22BB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Nº.</w:t>
      </w:r>
      <w:r w:rsidRPr="007E22BB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A66914" w:rsidRPr="007E22BB" w:rsidRDefault="00A6691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Pr="007E22BB" w:rsidRDefault="00000000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7E22BB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7E22BB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7E22BB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o</w:t>
      </w:r>
      <w:r w:rsidRPr="007E22BB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253B4A" w:rsidRPr="007E22BB">
        <w:rPr>
          <w:rFonts w:ascii="Times New Roman" w:hAnsi="Times New Roman" w:cs="Times New Roman"/>
          <w:b/>
          <w:sz w:val="20"/>
          <w:szCs w:val="20"/>
        </w:rPr>
        <w:t xml:space="preserve">  “</w:t>
      </w:r>
      <w:r w:rsidR="00E95B24">
        <w:rPr>
          <w:rFonts w:ascii="Times New Roman" w:hAnsi="Times New Roman" w:cs="Times New Roman"/>
          <w:b/>
          <w:sz w:val="20"/>
          <w:szCs w:val="20"/>
        </w:rPr>
        <w:t xml:space="preserve">Implantar </w:t>
      </w:r>
      <w:r w:rsidR="00811ED8" w:rsidRPr="00811ED8">
        <w:rPr>
          <w:rFonts w:ascii="Times New Roman" w:hAnsi="Times New Roman" w:cs="Times New Roman"/>
          <w:b/>
          <w:sz w:val="20"/>
          <w:szCs w:val="20"/>
        </w:rPr>
        <w:t>Iluminação Pública Eficiente</w:t>
      </w:r>
      <w:r w:rsidR="00253B4A" w:rsidRPr="007E22BB">
        <w:rPr>
          <w:rFonts w:ascii="Times New Roman" w:hAnsi="Times New Roman" w:cs="Times New Roman"/>
          <w:b/>
          <w:sz w:val="20"/>
          <w:szCs w:val="20"/>
        </w:rPr>
        <w:t>”</w:t>
      </w:r>
      <w:r w:rsidRPr="007E22BB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</w:p>
    <w:p w:rsidR="00DA3619" w:rsidRDefault="00000000" w:rsidP="00B818E1">
      <w:pPr>
        <w:spacing w:before="35"/>
        <w:ind w:left="4973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>anexo</w:t>
      </w:r>
      <w:r w:rsidRPr="007E22BB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I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–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Estrutura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Consolidada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do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Plano</w:t>
      </w:r>
      <w:r w:rsidRPr="007E22BB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Plurianual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2026-2029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para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o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quadriênio</w:t>
      </w:r>
      <w:r w:rsidRPr="007E22BB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2026/2029,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7E22BB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5F2B9D" w:rsidRPr="007E22BB">
        <w:rPr>
          <w:rFonts w:ascii="Times New Roman" w:hAnsi="Times New Roman" w:cs="Times New Roman"/>
          <w:b/>
          <w:spacing w:val="-5"/>
          <w:sz w:val="20"/>
          <w:szCs w:val="20"/>
        </w:rPr>
        <w:t xml:space="preserve"> 00</w:t>
      </w:r>
      <w:r w:rsidR="00833624" w:rsidRPr="007E22BB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A66914" w:rsidRPr="007E22BB" w:rsidRDefault="00A66914" w:rsidP="00B818E1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DA3619" w:rsidRPr="007E22BB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>Art.1º</w:t>
      </w:r>
      <w:r w:rsidRPr="007E22BB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b/>
          <w:sz w:val="20"/>
          <w:szCs w:val="20"/>
        </w:rPr>
        <w:t>-</w:t>
      </w:r>
      <w:r w:rsidRPr="007E22BB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no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anexo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I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–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Estrutura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Consolidada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do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Plano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Plurianual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2026-2029</w:t>
      </w:r>
      <w:r w:rsidRPr="007E22BB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para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quadriênio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2026/2029,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do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Projeto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de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sz w:val="20"/>
          <w:szCs w:val="20"/>
        </w:rPr>
        <w:t>Lei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A66914">
        <w:rPr>
          <w:rFonts w:ascii="Times New Roman" w:hAnsi="Times New Roman" w:cs="Times New Roman"/>
          <w:sz w:val="20"/>
          <w:szCs w:val="20"/>
        </w:rPr>
        <w:t>00361</w:t>
      </w:r>
      <w:r w:rsidRPr="007E22BB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7E22BB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7E22BB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7E22BB" w:rsidRDefault="00E535A6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>Cidade Urbanizada</w:t>
            </w:r>
            <w:r w:rsidR="00E049E5" w:rsidRPr="007E22BB">
              <w:rPr>
                <w:sz w:val="20"/>
                <w:szCs w:val="20"/>
              </w:rPr>
              <w:t xml:space="preserve"> </w:t>
            </w:r>
          </w:p>
        </w:tc>
      </w:tr>
      <w:tr w:rsidR="00DA3619" w:rsidRPr="007E22BB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TÍTULO</w:t>
            </w:r>
            <w:r w:rsidRPr="007E22BB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7E22BB" w:rsidRDefault="00A66914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Implantar </w:t>
            </w:r>
            <w:r w:rsidR="00811ED8" w:rsidRPr="00811ED8">
              <w:rPr>
                <w:sz w:val="20"/>
                <w:szCs w:val="20"/>
              </w:rPr>
              <w:t>Iluminação Pública Eficiente</w:t>
            </w:r>
          </w:p>
        </w:tc>
      </w:tr>
      <w:tr w:rsidR="00DA3619" w:rsidRPr="007E22BB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DESCRIÇÃO</w:t>
            </w:r>
            <w:r w:rsidRPr="007E22BB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7E22BB" w:rsidRDefault="00811ED8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811ED8">
              <w:rPr>
                <w:sz w:val="20"/>
                <w:szCs w:val="20"/>
              </w:rPr>
              <w:t>Implantar luminárias LED em áreas de risco e vias de grande circulação.</w:t>
            </w:r>
          </w:p>
        </w:tc>
      </w:tr>
      <w:tr w:rsidR="00DA3619" w:rsidRPr="007E22BB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UNIDADE</w:t>
            </w:r>
            <w:r w:rsidRPr="007E22BB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7E22BB" w:rsidRDefault="00CB15D8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Metros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7E22BB" w:rsidRDefault="00811ED8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SECONSER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7E22BB" w:rsidRDefault="00E535A6" w:rsidP="001D634D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 xml:space="preserve">Mulheres, </w:t>
            </w:r>
            <w:r w:rsidR="00E049E5" w:rsidRPr="007E22BB">
              <w:rPr>
                <w:sz w:val="20"/>
                <w:szCs w:val="20"/>
              </w:rPr>
              <w:t>Niterói Jovem, Primeira Infância, Antirracista</w:t>
            </w:r>
            <w:r w:rsidR="0080723C" w:rsidRPr="007E22BB">
              <w:rPr>
                <w:sz w:val="20"/>
                <w:szCs w:val="20"/>
              </w:rPr>
              <w:t xml:space="preserve"> </w:t>
            </w:r>
          </w:p>
        </w:tc>
      </w:tr>
      <w:tr w:rsidR="00DA3619" w:rsidRPr="007E22BB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7E22BB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7E22BB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7E22BB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7E22BB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7E22BB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7E22BB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7E22BB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7E22BB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Meta</w:t>
            </w:r>
            <w:r w:rsidRPr="007E22BB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7E22BB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7E22BB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7E22BB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4"/>
                <w:sz w:val="20"/>
                <w:szCs w:val="20"/>
              </w:rPr>
              <w:t>Valor</w:t>
            </w:r>
            <w:r w:rsidRPr="007E22BB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7E22BB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7E22BB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7E22BB">
        <w:trPr>
          <w:trHeight w:val="280"/>
        </w:trPr>
        <w:tc>
          <w:tcPr>
            <w:tcW w:w="940" w:type="dxa"/>
          </w:tcPr>
          <w:p w:rsidR="00DA3619" w:rsidRPr="007E22BB" w:rsidRDefault="00211B65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 w:rsidRPr="00211B65">
              <w:rPr>
                <w:sz w:val="20"/>
                <w:szCs w:val="20"/>
              </w:rPr>
              <w:t>20.000 m</w:t>
            </w:r>
          </w:p>
        </w:tc>
        <w:tc>
          <w:tcPr>
            <w:tcW w:w="800" w:type="dxa"/>
            <w:vMerge w:val="restart"/>
          </w:tcPr>
          <w:p w:rsidR="00DA3619" w:rsidRPr="007E22BB" w:rsidRDefault="00211B65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E95B24">
              <w:rPr>
                <w:sz w:val="20"/>
                <w:szCs w:val="20"/>
              </w:rPr>
              <w:t>2</w:t>
            </w:r>
            <w:r w:rsidRPr="00211B65">
              <w:rPr>
                <w:sz w:val="20"/>
                <w:szCs w:val="20"/>
              </w:rPr>
              <w:t>.000.000,00</w:t>
            </w:r>
          </w:p>
        </w:tc>
        <w:tc>
          <w:tcPr>
            <w:tcW w:w="900" w:type="dxa"/>
            <w:vMerge w:val="restart"/>
          </w:tcPr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208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CB15D8" w:rsidRPr="00CB15D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CB15D8" w:rsidRPr="00CB15D8" w:rsidRDefault="00CB15D8" w:rsidP="00CB15D8">
                  <w:pPr>
                    <w:pStyle w:val="TableParagraph"/>
                    <w:jc w:val="center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CB15D8" w:rsidRPr="00CB15D8" w:rsidRDefault="00211B65" w:rsidP="00CB15D8">
            <w:pPr>
              <w:pStyle w:val="TableParagraph"/>
              <w:jc w:val="center"/>
              <w:rPr>
                <w:vanish/>
                <w:sz w:val="20"/>
                <w:szCs w:val="20"/>
                <w:lang w:val="pt-BR"/>
              </w:rPr>
            </w:pPr>
            <w:r w:rsidRPr="00211B65">
              <w:rPr>
                <w:sz w:val="20"/>
                <w:szCs w:val="20"/>
              </w:rPr>
              <w:t>25.000 m</w:t>
            </w:r>
          </w:p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:rsidR="00DA3619" w:rsidRPr="007E22BB" w:rsidRDefault="00211B65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E95B24">
              <w:rPr>
                <w:sz w:val="20"/>
                <w:szCs w:val="20"/>
              </w:rPr>
              <w:t>3</w:t>
            </w:r>
            <w:r w:rsidRPr="00211B65">
              <w:rPr>
                <w:sz w:val="20"/>
                <w:szCs w:val="20"/>
              </w:rPr>
              <w:t>.000.000,00</w:t>
            </w:r>
          </w:p>
        </w:tc>
        <w:tc>
          <w:tcPr>
            <w:tcW w:w="1240" w:type="dxa"/>
            <w:vMerge w:val="restart"/>
          </w:tcPr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ind w:left="101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CB15D8" w:rsidRPr="00CB15D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CB15D8" w:rsidRPr="00CB15D8" w:rsidRDefault="00CB15D8" w:rsidP="00CB15D8">
                  <w:pPr>
                    <w:pStyle w:val="TableParagraph"/>
                    <w:jc w:val="center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CB15D8" w:rsidRPr="00CB15D8" w:rsidRDefault="00CB15D8" w:rsidP="00CB15D8">
            <w:pPr>
              <w:pStyle w:val="TableParagraph"/>
              <w:jc w:val="center"/>
              <w:rPr>
                <w:vanish/>
                <w:sz w:val="20"/>
                <w:szCs w:val="20"/>
                <w:lang w:val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7"/>
            </w:tblGrid>
            <w:tr w:rsidR="00CB15D8" w:rsidRPr="00CB15D8">
              <w:trPr>
                <w:tblCellSpacing w:w="15" w:type="dxa"/>
              </w:trPr>
              <w:tc>
                <w:tcPr>
                  <w:tcW w:w="937" w:type="dxa"/>
                  <w:vAlign w:val="center"/>
                  <w:hideMark/>
                </w:tcPr>
                <w:p w:rsidR="00CB15D8" w:rsidRPr="00CB15D8" w:rsidRDefault="00211B65" w:rsidP="00CB15D8">
                  <w:pPr>
                    <w:pStyle w:val="TableParagraph"/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 w:rsidRPr="00211B65">
                    <w:rPr>
                      <w:sz w:val="20"/>
                      <w:szCs w:val="20"/>
                    </w:rPr>
                    <w:t>25.000 m</w:t>
                  </w:r>
                </w:p>
              </w:tc>
            </w:tr>
          </w:tbl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:rsidR="00DA3619" w:rsidRPr="007E22BB" w:rsidRDefault="00211B65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E95B24">
              <w:rPr>
                <w:sz w:val="20"/>
                <w:szCs w:val="20"/>
              </w:rPr>
              <w:t>3.5</w:t>
            </w:r>
            <w:r w:rsidRPr="00211B65">
              <w:rPr>
                <w:sz w:val="20"/>
                <w:szCs w:val="20"/>
              </w:rPr>
              <w:t>00.000,00</w:t>
            </w:r>
          </w:p>
        </w:tc>
        <w:tc>
          <w:tcPr>
            <w:tcW w:w="1380" w:type="dxa"/>
            <w:vMerge w:val="restart"/>
          </w:tcPr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7E22BB" w:rsidRDefault="00DA3619" w:rsidP="00E049E5">
            <w:pPr>
              <w:pStyle w:val="TableParagraph"/>
              <w:ind w:left="173"/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211B65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 w:rsidRPr="00211B65">
              <w:rPr>
                <w:sz w:val="20"/>
                <w:szCs w:val="20"/>
              </w:rPr>
              <w:t>30.000 m</w:t>
            </w:r>
          </w:p>
        </w:tc>
        <w:tc>
          <w:tcPr>
            <w:tcW w:w="860" w:type="dxa"/>
            <w:vMerge w:val="restart"/>
          </w:tcPr>
          <w:p w:rsidR="00DA3619" w:rsidRPr="007E22BB" w:rsidRDefault="00E22C3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11B65">
              <w:rPr>
                <w:sz w:val="20"/>
                <w:szCs w:val="20"/>
              </w:rPr>
              <w:t xml:space="preserve">R$ </w:t>
            </w:r>
            <w:r w:rsidR="00E95B24">
              <w:rPr>
                <w:sz w:val="20"/>
                <w:szCs w:val="20"/>
              </w:rPr>
              <w:t>4</w:t>
            </w:r>
            <w:r w:rsidR="00211B65" w:rsidRPr="00211B65">
              <w:rPr>
                <w:sz w:val="20"/>
                <w:szCs w:val="20"/>
              </w:rPr>
              <w:t>.</w:t>
            </w:r>
            <w:r w:rsidR="00E95B24">
              <w:rPr>
                <w:sz w:val="20"/>
                <w:szCs w:val="20"/>
              </w:rPr>
              <w:t>5</w:t>
            </w:r>
            <w:r w:rsidR="00211B65" w:rsidRPr="00211B65">
              <w:rPr>
                <w:sz w:val="20"/>
                <w:szCs w:val="20"/>
              </w:rPr>
              <w:t>00.000,00</w:t>
            </w:r>
          </w:p>
        </w:tc>
        <w:tc>
          <w:tcPr>
            <w:tcW w:w="920" w:type="dxa"/>
            <w:vMerge w:val="restart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7E22BB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7E22BB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7E22BB">
        <w:trPr>
          <w:trHeight w:val="300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7E22BB">
        <w:trPr>
          <w:trHeight w:val="299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7E22BB">
        <w:trPr>
          <w:trHeight w:val="299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7E22BB">
        <w:trPr>
          <w:trHeight w:val="280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7E22BB">
        <w:trPr>
          <w:trHeight w:val="300"/>
        </w:trPr>
        <w:tc>
          <w:tcPr>
            <w:tcW w:w="940" w:type="dxa"/>
          </w:tcPr>
          <w:p w:rsidR="00DA3619" w:rsidRPr="007E22BB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7E22BB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7E22BB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7E22BB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7E22BB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7E22BB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>Praias</w:t>
            </w:r>
            <w:r w:rsidRPr="007E22BB">
              <w:rPr>
                <w:spacing w:val="-4"/>
                <w:sz w:val="20"/>
                <w:szCs w:val="20"/>
              </w:rPr>
              <w:t xml:space="preserve"> </w:t>
            </w:r>
            <w:r w:rsidRPr="007E22BB">
              <w:rPr>
                <w:sz w:val="20"/>
                <w:szCs w:val="20"/>
              </w:rPr>
              <w:t>da</w:t>
            </w:r>
            <w:r w:rsidRPr="007E22BB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7E22BB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7E22BB">
        <w:rPr>
          <w:rFonts w:ascii="Times New Roman" w:hAnsi="Times New Roman" w:cs="Times New Roman"/>
          <w:i/>
          <w:sz w:val="20"/>
          <w:szCs w:val="20"/>
        </w:rPr>
        <w:t>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campos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acima servem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a(s) meta(s)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física(s)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 valor(s)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 produto,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é opcional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informar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 região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e/ou meta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física para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7E22BB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7E22BB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7E22BB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E535A6" w:rsidRPr="007E22BB" w:rsidRDefault="00E535A6">
      <w:pPr>
        <w:ind w:left="23"/>
        <w:rPr>
          <w:rFonts w:ascii="Times New Roman" w:hAnsi="Times New Roman" w:cs="Times New Roman"/>
          <w:b/>
          <w:sz w:val="20"/>
          <w:szCs w:val="20"/>
        </w:rPr>
      </w:pPr>
    </w:p>
    <w:p w:rsidR="00DA3619" w:rsidRPr="007E22BB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7E22BB">
        <w:rPr>
          <w:rFonts w:ascii="Times New Roman" w:hAnsi="Times New Roman" w:cs="Times New Roman"/>
          <w:b/>
          <w:sz w:val="20"/>
          <w:szCs w:val="20"/>
        </w:rPr>
        <w:t xml:space="preserve">Art. 2º </w:t>
      </w:r>
      <w:r w:rsidRPr="007E22BB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7E22BB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7E22BB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7E22BB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PROGRAMA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ORIGEM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VALOR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VALOR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PROPOSTO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PARA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COMPENSAÇÃO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DA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7E22BB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DA3619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DA3619">
            <w:pPr>
              <w:pStyle w:val="TableParagraph"/>
              <w:spacing w:before="68"/>
              <w:ind w:left="35"/>
              <w:jc w:val="center"/>
              <w:rPr>
                <w:sz w:val="20"/>
                <w:szCs w:val="20"/>
              </w:rPr>
            </w:pPr>
          </w:p>
        </w:tc>
      </w:tr>
      <w:tr w:rsidR="00DA3619" w:rsidRPr="007E22BB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7E22BB">
              <w:rPr>
                <w:b/>
                <w:sz w:val="20"/>
                <w:szCs w:val="20"/>
              </w:rPr>
              <w:t>PROGRAMA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ORIGEM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DO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VALOR</w:t>
            </w:r>
            <w:r w:rsidRPr="007E22B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E22BB">
              <w:rPr>
                <w:b/>
                <w:sz w:val="20"/>
                <w:szCs w:val="20"/>
              </w:rPr>
              <w:t>DE</w:t>
            </w:r>
            <w:r w:rsidRPr="007E22BB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7E22BB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7E22BB">
              <w:rPr>
                <w:b/>
                <w:spacing w:val="-2"/>
                <w:sz w:val="20"/>
                <w:szCs w:val="20"/>
              </w:rPr>
              <w:t>VALOR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PROPOSTO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PARA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COMPENSAÇÃO</w:t>
            </w:r>
            <w:r w:rsidRPr="007E22BB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DA</w:t>
            </w:r>
            <w:r w:rsidRPr="007E22BB">
              <w:rPr>
                <w:b/>
                <w:sz w:val="20"/>
                <w:szCs w:val="20"/>
              </w:rPr>
              <w:t xml:space="preserve"> </w:t>
            </w:r>
            <w:r w:rsidRPr="007E22BB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7E22BB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456F8D">
            <w:pPr>
              <w:pStyle w:val="TableParagraph"/>
              <w:rPr>
                <w:sz w:val="20"/>
                <w:szCs w:val="20"/>
              </w:rPr>
            </w:pPr>
            <w:r w:rsidRPr="007E22BB">
              <w:rPr>
                <w:sz w:val="20"/>
                <w:szCs w:val="20"/>
              </w:rPr>
              <w:t xml:space="preserve">   </w:t>
            </w:r>
            <w:r w:rsidR="00E535A6" w:rsidRPr="007E22BB">
              <w:rPr>
                <w:sz w:val="20"/>
                <w:szCs w:val="20"/>
              </w:rPr>
              <w:t>CIDADE URBANIZADA</w:t>
            </w:r>
            <w:r w:rsidRPr="007E22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7E22BB" w:rsidRDefault="009B7E87" w:rsidP="009B7E8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11B65" w:rsidRPr="00211B65">
              <w:rPr>
                <w:sz w:val="20"/>
                <w:szCs w:val="20"/>
              </w:rPr>
              <w:t xml:space="preserve">R$ </w:t>
            </w:r>
            <w:r w:rsidR="00E95B24">
              <w:rPr>
                <w:sz w:val="20"/>
                <w:szCs w:val="20"/>
              </w:rPr>
              <w:t>13</w:t>
            </w:r>
            <w:r w:rsidR="00211B65" w:rsidRPr="00211B65">
              <w:rPr>
                <w:sz w:val="20"/>
                <w:szCs w:val="20"/>
              </w:rPr>
              <w:t>.</w:t>
            </w:r>
            <w:r w:rsidR="00E95B24">
              <w:rPr>
                <w:sz w:val="20"/>
                <w:szCs w:val="20"/>
              </w:rPr>
              <w:t>0</w:t>
            </w:r>
            <w:r w:rsidR="00211B65" w:rsidRPr="00211B65">
              <w:rPr>
                <w:sz w:val="20"/>
                <w:szCs w:val="20"/>
              </w:rPr>
              <w:t>00.000,00</w:t>
            </w:r>
          </w:p>
        </w:tc>
      </w:tr>
    </w:tbl>
    <w:p w:rsidR="00DA3619" w:rsidRPr="007E22BB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7E22BB">
        <w:rPr>
          <w:rFonts w:ascii="Times New Roman" w:hAnsi="Times New Roman" w:cs="Times New Roman"/>
          <w:i/>
          <w:sz w:val="20"/>
          <w:szCs w:val="20"/>
        </w:rPr>
        <w:t>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campos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acima servem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de qual(s)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Programa(s)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 valor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programa de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origem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pode ser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o mesmo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>citado no</w:t>
      </w:r>
      <w:r w:rsidRPr="007E22BB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7E22BB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7E22BB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7E22BB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7E22BB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7E22BB" w:rsidRDefault="00000000">
      <w:pPr>
        <w:ind w:left="23"/>
        <w:rPr>
          <w:rFonts w:ascii="Times New Roman" w:hAnsi="Times New Roman" w:cs="Times New Roman"/>
          <w:b/>
          <w:sz w:val="24"/>
          <w:szCs w:val="24"/>
        </w:rPr>
      </w:pPr>
      <w:r w:rsidRPr="007E22BB">
        <w:rPr>
          <w:rFonts w:ascii="Times New Roman" w:hAnsi="Times New Roman" w:cs="Times New Roman"/>
          <w:b/>
          <w:spacing w:val="-2"/>
          <w:sz w:val="24"/>
          <w:szCs w:val="24"/>
        </w:rPr>
        <w:t>JUSTIFICATIVA:</w:t>
      </w:r>
    </w:p>
    <w:p w:rsidR="00DA3619" w:rsidRDefault="00DA3619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CB15D8" w:rsidRDefault="00CB15D8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DA3619" w:rsidRPr="007E22BB" w:rsidRDefault="00DA3619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A66914" w:rsidRPr="00A66914" w:rsidRDefault="00CB15D8" w:rsidP="00A66914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11B65">
        <w:rPr>
          <w:rFonts w:ascii="Times New Roman" w:hAnsi="Times New Roman" w:cs="Times New Roman"/>
          <w:sz w:val="20"/>
          <w:szCs w:val="20"/>
        </w:rPr>
        <w:tab/>
      </w:r>
      <w:r w:rsidR="00A66914" w:rsidRPr="00A66914">
        <w:rPr>
          <w:rFonts w:ascii="Times New Roman" w:hAnsi="Times New Roman" w:cs="Times New Roman"/>
          <w:sz w:val="24"/>
          <w:szCs w:val="24"/>
        </w:rPr>
        <w:t>A presente emenda tem por finalidade viabilizar a implantação do programa Iluminação Pública Eficiente, com a substituição progressiva do sistema convencional por luminárias de tecnologia LED em áreas de risco e vias de grande circulação no Município de Niterói.</w:t>
      </w:r>
    </w:p>
    <w:p w:rsidR="00A66914" w:rsidRPr="00A66914" w:rsidRDefault="00A66914" w:rsidP="00A66914">
      <w:pPr>
        <w:pStyle w:val="Corpodetex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66914">
        <w:rPr>
          <w:rFonts w:ascii="Times New Roman" w:hAnsi="Times New Roman" w:cs="Times New Roman"/>
          <w:sz w:val="24"/>
          <w:szCs w:val="24"/>
        </w:rPr>
        <w:t>A modernização da rede de iluminação pública traz ganhos expressivos em segurança urbana, na medida em que contribui para a redução de acidentes, a prevenção da criminalidade e a promoção da sensação de segurança, estimulando a ocupação saudável dos espaços públicos no período noturno.</w:t>
      </w:r>
    </w:p>
    <w:p w:rsidR="00A66914" w:rsidRPr="00A66914" w:rsidRDefault="00A66914" w:rsidP="00A66914">
      <w:pPr>
        <w:pStyle w:val="Corpodetex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66914">
        <w:rPr>
          <w:rFonts w:ascii="Times New Roman" w:hAnsi="Times New Roman" w:cs="Times New Roman"/>
          <w:sz w:val="24"/>
          <w:szCs w:val="24"/>
        </w:rPr>
        <w:t>Do ponto de vista econômico e ambiental, a tecnologia LED garante maior durabilidade, menor custo de manutenção e redução significativa no consumo de energia elétrica, gerando impacto positivo nas contas públicas e diminuindo a emissão de gases de efeito estufa. Trata-se, portanto, de uma medida que alia eficiência energética, sustentabilidade e responsabilidade fiscal.</w:t>
      </w:r>
    </w:p>
    <w:p w:rsidR="00A66914" w:rsidRPr="00A66914" w:rsidRDefault="00A66914" w:rsidP="00A66914">
      <w:pPr>
        <w:pStyle w:val="Corpodetex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66914">
        <w:rPr>
          <w:rFonts w:ascii="Times New Roman" w:hAnsi="Times New Roman" w:cs="Times New Roman"/>
          <w:sz w:val="24"/>
          <w:szCs w:val="24"/>
        </w:rPr>
        <w:t>A iniciativa se harmoniza com o art. 182 da Constituição Federal, que impõe ao Poder Público a tarefa de ordenar o pleno desenvolvimento das funções sociais da cidade e garantir o bem-estar de seus habitantes. Além disso, encontra respaldo nas diretrizes da Política Nacional de Conservação e Uso Racional de Energia (Lei Federal nº 10.295/2001), bem como nos compromissos assumidos pelo Brasil perante a Agenda 2030 da ONU, especialmente no ODS 11 (Cidades e Comunidades Sustentáveis) e no ODS 7 (Energia Acessível e Limpa).</w:t>
      </w:r>
    </w:p>
    <w:p w:rsidR="00A66914" w:rsidRPr="00A66914" w:rsidRDefault="00A66914" w:rsidP="00A66914">
      <w:pPr>
        <w:pStyle w:val="Corpodetex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66914">
        <w:rPr>
          <w:rFonts w:ascii="Times New Roman" w:hAnsi="Times New Roman" w:cs="Times New Roman"/>
          <w:sz w:val="24"/>
          <w:szCs w:val="24"/>
        </w:rPr>
        <w:t>Por fim, a proposta está em sintonia com a Agenda Transversal de Políticas Públicas do Município de Niterói, ao promover benefícios diretos para mulheres, jovens, crianças e comunidades vulneráveis, garantindo mais segurança e qualidade de vida de forma equitativa em todas as regiões da cidade.</w:t>
      </w:r>
    </w:p>
    <w:p w:rsidR="00A66914" w:rsidRDefault="00A66914" w:rsidP="00A66914">
      <w:pPr>
        <w:pStyle w:val="Corpodetex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66914" w:rsidRDefault="00A66914" w:rsidP="00A66914">
      <w:pPr>
        <w:pStyle w:val="Corpodetex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66914" w:rsidRDefault="00A66914" w:rsidP="00A66914">
      <w:pPr>
        <w:pStyle w:val="Corpodetex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66914" w:rsidRDefault="00A66914" w:rsidP="00A66914">
      <w:pPr>
        <w:pStyle w:val="Corpodetex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66914" w:rsidRPr="003043B7" w:rsidRDefault="00A66914" w:rsidP="00A66914">
      <w:pPr>
        <w:pStyle w:val="Corpodetexto"/>
        <w:ind w:firstLine="720"/>
        <w:jc w:val="both"/>
        <w:rPr>
          <w:rFonts w:ascii="Times New Roman" w:hAnsi="Times New Roman" w:cs="Times New Roman"/>
        </w:rPr>
      </w:pPr>
    </w:p>
    <w:p w:rsidR="005F2B9D" w:rsidRPr="003043B7" w:rsidRDefault="00A66914" w:rsidP="00A66914">
      <w:pPr>
        <w:pStyle w:val="Corpodetexto"/>
        <w:ind w:firstLine="720"/>
        <w:jc w:val="both"/>
        <w:rPr>
          <w:rFonts w:ascii="Times New Roman" w:hAnsi="Times New Roman" w:cs="Times New Roman"/>
        </w:rPr>
      </w:pPr>
      <w:r w:rsidRPr="003043B7">
        <w:rPr>
          <w:rFonts w:ascii="Times New Roman" w:hAnsi="Times New Roman" w:cs="Times New Roman"/>
        </w:rPr>
        <w:t xml:space="preserve">Diante do exposto, a aprovação desta emenda se justifica como medida de interesse público relevante, combinando inovação tecnológica, sustentabilidade ambiental e proteção social. </w:t>
      </w:r>
    </w:p>
    <w:p w:rsidR="005F2B9D" w:rsidRPr="003043B7" w:rsidRDefault="005F2B9D">
      <w:pPr>
        <w:pStyle w:val="Corpodetexto"/>
        <w:rPr>
          <w:rFonts w:ascii="Times New Roman" w:hAnsi="Times New Roman" w:cs="Times New Roman"/>
        </w:rPr>
      </w:pPr>
    </w:p>
    <w:p w:rsidR="00211B65" w:rsidRPr="003043B7" w:rsidRDefault="00211B65">
      <w:pPr>
        <w:pStyle w:val="Corpodetexto"/>
        <w:rPr>
          <w:rFonts w:ascii="Times New Roman" w:hAnsi="Times New Roman" w:cs="Times New Roman"/>
        </w:rPr>
      </w:pPr>
    </w:p>
    <w:p w:rsidR="00A66914" w:rsidRPr="003043B7" w:rsidRDefault="00A6691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A66914" w:rsidRPr="003043B7" w:rsidRDefault="00A6691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A66914" w:rsidRPr="003043B7" w:rsidRDefault="00A6691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833624" w:rsidRPr="003043B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3043B7">
        <w:rPr>
          <w:rFonts w:ascii="Times New Roman" w:hAnsi="Times New Roman" w:cs="Times New Roman"/>
        </w:rPr>
        <w:t xml:space="preserve">Sala das Sessões, </w:t>
      </w:r>
      <w:r w:rsidR="00F77643" w:rsidRPr="003043B7">
        <w:rPr>
          <w:rFonts w:ascii="Times New Roman" w:hAnsi="Times New Roman" w:cs="Times New Roman"/>
        </w:rPr>
        <w:t>17</w:t>
      </w:r>
      <w:r w:rsidRPr="003043B7">
        <w:rPr>
          <w:rFonts w:ascii="Times New Roman" w:hAnsi="Times New Roman" w:cs="Times New Roman"/>
        </w:rPr>
        <w:t xml:space="preserve"> de setembro de </w:t>
      </w:r>
      <w:r w:rsidRPr="003043B7">
        <w:rPr>
          <w:rFonts w:ascii="Times New Roman" w:hAnsi="Times New Roman" w:cs="Times New Roman"/>
          <w:spacing w:val="-2"/>
        </w:rPr>
        <w:t>2025.</w:t>
      </w:r>
    </w:p>
    <w:p w:rsidR="00833624" w:rsidRPr="003043B7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3043B7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3043B7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3043B7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3043B7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3043B7" w:rsidRDefault="00833624">
      <w:pPr>
        <w:pStyle w:val="Corpodetexto"/>
        <w:rPr>
          <w:rFonts w:ascii="Times New Roman" w:hAnsi="Times New Roman" w:cs="Times New Roman"/>
        </w:rPr>
      </w:pPr>
    </w:p>
    <w:p w:rsidR="00DA3619" w:rsidRPr="003043B7" w:rsidRDefault="00DA3619">
      <w:pPr>
        <w:pStyle w:val="Corpodetexto"/>
        <w:spacing w:before="58"/>
        <w:rPr>
          <w:rFonts w:ascii="Times New Roman" w:hAnsi="Times New Roman" w:cs="Times New Roman"/>
        </w:rPr>
      </w:pPr>
    </w:p>
    <w:p w:rsidR="00DA3619" w:rsidRPr="003043B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3043B7">
        <w:rPr>
          <w:rFonts w:ascii="Times New Roman" w:hAnsi="Times New Roman" w:cs="Times New Roman"/>
        </w:rPr>
        <w:tab/>
      </w:r>
      <w:r w:rsidRPr="003043B7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43B7">
        <w:rPr>
          <w:rFonts w:ascii="Times New Roman" w:hAnsi="Times New Roman" w:cs="Times New Roman"/>
        </w:rPr>
        <w:tab/>
      </w:r>
    </w:p>
    <w:p w:rsidR="00DA3619" w:rsidRPr="003043B7" w:rsidRDefault="00DA3619">
      <w:pPr>
        <w:pStyle w:val="Corpodetexto"/>
        <w:spacing w:before="5"/>
        <w:rPr>
          <w:rFonts w:ascii="Times New Roman" w:hAnsi="Times New Roman" w:cs="Times New Roman"/>
        </w:rPr>
      </w:pPr>
    </w:p>
    <w:p w:rsidR="00833624" w:rsidRPr="003043B7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3043B7">
        <w:rPr>
          <w:rFonts w:ascii="Times New Roman" w:hAnsi="Times New Roman" w:cs="Times New Roman"/>
          <w:b/>
        </w:rPr>
        <w:t>Rodrigo Farah</w:t>
      </w:r>
    </w:p>
    <w:p w:rsidR="00DA3619" w:rsidRPr="003043B7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3043B7">
        <w:rPr>
          <w:rFonts w:ascii="Times New Roman" w:hAnsi="Times New Roman" w:cs="Times New Roman"/>
          <w:b/>
          <w:spacing w:val="-2"/>
        </w:rPr>
        <w:t>Vereador</w:t>
      </w:r>
    </w:p>
    <w:sectPr w:rsidR="00DA3619" w:rsidRPr="003043B7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A1C86" w:rsidRDefault="002A1C86">
      <w:r>
        <w:separator/>
      </w:r>
    </w:p>
  </w:endnote>
  <w:endnote w:type="continuationSeparator" w:id="0">
    <w:p w:rsidR="002A1C86" w:rsidRDefault="002A1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A1C86" w:rsidRDefault="002A1C86">
      <w:r>
        <w:separator/>
      </w:r>
    </w:p>
  </w:footnote>
  <w:footnote w:type="continuationSeparator" w:id="0">
    <w:p w:rsidR="002A1C86" w:rsidRDefault="002A1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93338338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815BA"/>
    <w:rsid w:val="00083480"/>
    <w:rsid w:val="0018441D"/>
    <w:rsid w:val="001D634D"/>
    <w:rsid w:val="00211B65"/>
    <w:rsid w:val="00247439"/>
    <w:rsid w:val="00253B4A"/>
    <w:rsid w:val="0027131A"/>
    <w:rsid w:val="002A1C86"/>
    <w:rsid w:val="003043B7"/>
    <w:rsid w:val="00316CA9"/>
    <w:rsid w:val="00412C69"/>
    <w:rsid w:val="00456F8D"/>
    <w:rsid w:val="004866D0"/>
    <w:rsid w:val="004B3A29"/>
    <w:rsid w:val="004D0D51"/>
    <w:rsid w:val="005C7EE0"/>
    <w:rsid w:val="005F2B9D"/>
    <w:rsid w:val="00712FE6"/>
    <w:rsid w:val="007E22BB"/>
    <w:rsid w:val="0080723C"/>
    <w:rsid w:val="00811ED8"/>
    <w:rsid w:val="00833624"/>
    <w:rsid w:val="008616B6"/>
    <w:rsid w:val="009B7E87"/>
    <w:rsid w:val="009C042F"/>
    <w:rsid w:val="009E76ED"/>
    <w:rsid w:val="00A043B8"/>
    <w:rsid w:val="00A66914"/>
    <w:rsid w:val="00B32DA4"/>
    <w:rsid w:val="00B818E1"/>
    <w:rsid w:val="00C325DE"/>
    <w:rsid w:val="00C73770"/>
    <w:rsid w:val="00CB15D8"/>
    <w:rsid w:val="00D465BF"/>
    <w:rsid w:val="00D46AAD"/>
    <w:rsid w:val="00D97D47"/>
    <w:rsid w:val="00DA3619"/>
    <w:rsid w:val="00DD401F"/>
    <w:rsid w:val="00E049E5"/>
    <w:rsid w:val="00E22C34"/>
    <w:rsid w:val="00E535A6"/>
    <w:rsid w:val="00E55979"/>
    <w:rsid w:val="00E95B24"/>
    <w:rsid w:val="00EB2DA1"/>
    <w:rsid w:val="00EE248A"/>
    <w:rsid w:val="00F62EB6"/>
    <w:rsid w:val="00F75D23"/>
    <w:rsid w:val="00F77643"/>
    <w:rsid w:val="00FB5521"/>
    <w:rsid w:val="00FC3E06"/>
    <w:rsid w:val="00FD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C25B7C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602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8</cp:revision>
  <dcterms:created xsi:type="dcterms:W3CDTF">2025-09-18T15:28:00Z</dcterms:created>
  <dcterms:modified xsi:type="dcterms:W3CDTF">2025-10-17T15:18:00Z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