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D46AAD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EMENDA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000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2F3EBF" w:rsidRPr="00D46AAD" w:rsidRDefault="002F3EBF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253B4A">
        <w:rPr>
          <w:rFonts w:ascii="Times New Roman" w:hAnsi="Times New Roman" w:cs="Times New Roman"/>
          <w:b/>
          <w:sz w:val="20"/>
          <w:szCs w:val="20"/>
        </w:rPr>
        <w:t xml:space="preserve">  “</w:t>
      </w:r>
      <w:r w:rsidR="00DD401F" w:rsidRPr="00DD401F">
        <w:rPr>
          <w:rFonts w:ascii="Times New Roman" w:hAnsi="Times New Roman" w:cs="Times New Roman"/>
          <w:b/>
          <w:sz w:val="20"/>
          <w:szCs w:val="20"/>
        </w:rPr>
        <w:t>Construção</w:t>
      </w:r>
      <w:r w:rsidR="00DD401F">
        <w:rPr>
          <w:rFonts w:ascii="Times New Roman" w:hAnsi="Times New Roman" w:cs="Times New Roman"/>
          <w:b/>
          <w:sz w:val="20"/>
          <w:szCs w:val="20"/>
        </w:rPr>
        <w:t xml:space="preserve"> e Reforma</w:t>
      </w:r>
      <w:r w:rsidR="00DD401F" w:rsidRPr="00DD401F">
        <w:rPr>
          <w:rFonts w:ascii="Times New Roman" w:hAnsi="Times New Roman" w:cs="Times New Roman"/>
          <w:b/>
          <w:sz w:val="20"/>
          <w:szCs w:val="20"/>
        </w:rPr>
        <w:t xml:space="preserve"> de Quadras Poliesportivas</w:t>
      </w:r>
      <w:r w:rsidR="00253B4A">
        <w:rPr>
          <w:rFonts w:ascii="Times New Roman" w:hAnsi="Times New Roman" w:cs="Times New Roman"/>
          <w:b/>
          <w:sz w:val="20"/>
          <w:szCs w:val="20"/>
        </w:rPr>
        <w:t>”</w:t>
      </w:r>
      <w:r w:rsidRPr="00D46AAD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</w:p>
    <w:p w:rsidR="00DA3619" w:rsidRDefault="00000000" w:rsidP="00B818E1">
      <w:pPr>
        <w:spacing w:before="35"/>
        <w:ind w:left="4973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anexo</w:t>
      </w:r>
      <w:r w:rsidRPr="00D46AAD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I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–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Plano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para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2026/2029,</w:t>
      </w:r>
      <w:r w:rsidR="00813507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5F2B9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00</w:t>
      </w:r>
      <w:r w:rsidR="00833624" w:rsidRPr="00D46AAD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2F3EBF" w:rsidRPr="00D46AAD" w:rsidRDefault="002F3EBF" w:rsidP="00B818E1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Art.1º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-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anexo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I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–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Plano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para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Projeto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de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Lei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2F3EBF">
        <w:rPr>
          <w:rFonts w:ascii="Times New Roman" w:hAnsi="Times New Roman" w:cs="Times New Roman"/>
          <w:sz w:val="20"/>
          <w:szCs w:val="20"/>
        </w:rPr>
        <w:t>00361</w:t>
      </w:r>
      <w:r w:rsidRPr="00D46AAD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D46AAD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D46AAD" w:rsidRDefault="00731371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Cidade Urbanizada </w:t>
            </w:r>
            <w:r w:rsidR="002437B8">
              <w:rPr>
                <w:sz w:val="20"/>
                <w:szCs w:val="20"/>
              </w:rPr>
              <w:t xml:space="preserve"> </w:t>
            </w:r>
          </w:p>
        </w:tc>
      </w:tr>
      <w:tr w:rsidR="00DA3619" w:rsidRPr="00D46AAD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TÍTULO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2F3EBF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Implantar a </w:t>
            </w:r>
            <w:r w:rsidR="00DD401F" w:rsidRPr="00DD401F">
              <w:rPr>
                <w:sz w:val="20"/>
                <w:szCs w:val="20"/>
              </w:rPr>
              <w:t>Construção</w:t>
            </w:r>
            <w:r w:rsidR="00DD401F">
              <w:rPr>
                <w:sz w:val="20"/>
                <w:szCs w:val="20"/>
              </w:rPr>
              <w:t xml:space="preserve"> e Reformas</w:t>
            </w:r>
            <w:r w:rsidR="00DD401F" w:rsidRPr="00DD401F">
              <w:rPr>
                <w:sz w:val="20"/>
                <w:szCs w:val="20"/>
              </w:rPr>
              <w:t xml:space="preserve"> de Quadras Poliesportivas</w:t>
            </w:r>
          </w:p>
        </w:tc>
      </w:tr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DESCRIÇÃO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DD401F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DD401F">
              <w:rPr>
                <w:sz w:val="20"/>
                <w:szCs w:val="20"/>
              </w:rPr>
              <w:t xml:space="preserve">Implantar </w:t>
            </w:r>
            <w:r>
              <w:rPr>
                <w:sz w:val="20"/>
                <w:szCs w:val="20"/>
              </w:rPr>
              <w:t xml:space="preserve">e reformar </w:t>
            </w:r>
            <w:r w:rsidRPr="00DD401F">
              <w:rPr>
                <w:sz w:val="20"/>
                <w:szCs w:val="20"/>
              </w:rPr>
              <w:t>quadras poliesportivas cobertas em comunidades com carência de infraestrutura esportiva.</w:t>
            </w:r>
          </w:p>
        </w:tc>
      </w:tr>
      <w:tr w:rsidR="00DA3619" w:rsidRPr="00D46AAD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UNIDADE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D46AAD" w:rsidRDefault="002437B8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ION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D46AAD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Mulheres,</w:t>
            </w:r>
            <w:r w:rsidRPr="00D46AAD">
              <w:rPr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Niterói</w:t>
            </w:r>
            <w:r w:rsidRPr="00D46AAD">
              <w:rPr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Jovem,</w:t>
            </w:r>
            <w:r w:rsidRPr="00D46AAD">
              <w:rPr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Primeira</w:t>
            </w:r>
            <w:r w:rsidRPr="00D46AAD">
              <w:rPr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spacing w:val="-2"/>
                <w:sz w:val="20"/>
                <w:szCs w:val="20"/>
              </w:rPr>
              <w:t>Infância,</w:t>
            </w:r>
          </w:p>
          <w:p w:rsidR="00DA3619" w:rsidRPr="00D46AAD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D46AAD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Meta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EB3CEC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00" w:type="dxa"/>
            <w:vMerge w:val="restart"/>
          </w:tcPr>
          <w:p w:rsidR="00DA3619" w:rsidRPr="00D46AAD" w:rsidRDefault="00EB3CEC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EB3CEC">
              <w:rPr>
                <w:sz w:val="20"/>
                <w:szCs w:val="20"/>
              </w:rPr>
              <w:t>5.000.000,00</w:t>
            </w:r>
          </w:p>
        </w:tc>
        <w:tc>
          <w:tcPr>
            <w:tcW w:w="90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EB3CEC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D46AAD" w:rsidRDefault="00EB3CEC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</w:t>
            </w:r>
            <w:r w:rsidRPr="00EB3CEC">
              <w:rPr>
                <w:sz w:val="20"/>
                <w:szCs w:val="20"/>
              </w:rPr>
              <w:t>.000.000,00</w:t>
            </w:r>
          </w:p>
        </w:tc>
        <w:tc>
          <w:tcPr>
            <w:tcW w:w="124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EB3CEC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D46AAD" w:rsidRDefault="00EB3CEC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EB3CEC">
              <w:rPr>
                <w:sz w:val="20"/>
                <w:szCs w:val="20"/>
              </w:rPr>
              <w:t>7.500.000,00</w:t>
            </w:r>
          </w:p>
        </w:tc>
        <w:tc>
          <w:tcPr>
            <w:tcW w:w="138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EB3CEC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60" w:type="dxa"/>
            <w:vMerge w:val="restart"/>
          </w:tcPr>
          <w:p w:rsidR="00DA3619" w:rsidRPr="00D46AAD" w:rsidRDefault="00EB3CEC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</w:t>
            </w:r>
            <w:r w:rsidRPr="00EB3CEC">
              <w:rPr>
                <w:sz w:val="20"/>
                <w:szCs w:val="20"/>
              </w:rPr>
              <w:t>.500.000,00</w:t>
            </w:r>
          </w:p>
        </w:tc>
        <w:tc>
          <w:tcPr>
            <w:tcW w:w="92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Praias</w:t>
            </w:r>
            <w:r w:rsidRPr="00D46AAD">
              <w:rPr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da</w:t>
            </w:r>
            <w:r w:rsidRPr="00D46AAD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D46AAD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a(s) meta(s)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 valor(s)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produto,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é opcional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 região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e/ou meta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D46AAD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D46AAD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D46AAD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DA3619" w:rsidRPr="00D46AAD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lastRenderedPageBreak/>
        <w:t xml:space="preserve">Art. 2º </w:t>
      </w:r>
      <w:r w:rsidRPr="00D46AAD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D46AAD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D46AAD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DA3619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DA3619">
            <w:pPr>
              <w:pStyle w:val="TableParagraph"/>
              <w:spacing w:before="68"/>
              <w:ind w:left="35"/>
              <w:jc w:val="center"/>
              <w:rPr>
                <w:sz w:val="20"/>
                <w:szCs w:val="20"/>
              </w:rPr>
            </w:pPr>
          </w:p>
        </w:tc>
      </w:tr>
      <w:tr w:rsidR="00DA3619" w:rsidRPr="00D46AAD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2F3EB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4866D0">
              <w:rPr>
                <w:sz w:val="20"/>
                <w:szCs w:val="20"/>
              </w:rPr>
              <w:t xml:space="preserve">CIDADE </w:t>
            </w:r>
            <w:r>
              <w:rPr>
                <w:sz w:val="20"/>
                <w:szCs w:val="20"/>
              </w:rPr>
              <w:t>URBANIZADA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EB3CEC" w:rsidP="00EB3CEC">
            <w:pPr>
              <w:pStyle w:val="TableParagraph"/>
              <w:jc w:val="center"/>
              <w:rPr>
                <w:sz w:val="20"/>
                <w:szCs w:val="20"/>
              </w:rPr>
            </w:pPr>
            <w:r w:rsidRPr="00EB3CEC">
              <w:rPr>
                <w:sz w:val="20"/>
                <w:szCs w:val="20"/>
              </w:rPr>
              <w:t>R$ 27.000.000,00</w:t>
            </w:r>
          </w:p>
        </w:tc>
      </w:tr>
    </w:tbl>
    <w:p w:rsidR="00DA3619" w:rsidRPr="00D46AAD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de qual(s)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valor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 de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origem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pode ser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mesmo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citado no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D46AAD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D46AAD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EB3CEC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EB3CEC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DA3619" w:rsidRPr="00EB3CEC" w:rsidRDefault="00DA3619">
      <w:pPr>
        <w:pStyle w:val="Corpodetexto"/>
        <w:spacing w:before="5"/>
        <w:rPr>
          <w:rFonts w:ascii="Times New Roman" w:hAnsi="Times New Roman" w:cs="Times New Roman"/>
          <w:b/>
          <w:sz w:val="24"/>
          <w:szCs w:val="24"/>
        </w:rPr>
      </w:pPr>
    </w:p>
    <w:p w:rsidR="00DA3619" w:rsidRPr="00EB3CEC" w:rsidRDefault="00DA361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F3EBF" w:rsidRPr="002F3EBF" w:rsidRDefault="002F3EBF" w:rsidP="002F3EBF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2F3EBF">
        <w:rPr>
          <w:rFonts w:ascii="Times New Roman" w:hAnsi="Times New Roman" w:cs="Times New Roman"/>
          <w:sz w:val="24"/>
          <w:szCs w:val="24"/>
        </w:rPr>
        <w:t>A presente emenda propõe a construção e reforma de quadras poliesportivas, com o objetivo de ampliar o acesso ao esporte e ao lazer em comunidades que enfrentam carência de infraestrutura adequada.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F3EBF" w:rsidRPr="002F3EBF" w:rsidRDefault="002F3EBF" w:rsidP="002F3EBF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2F3EBF">
        <w:rPr>
          <w:rFonts w:ascii="Times New Roman" w:hAnsi="Times New Roman" w:cs="Times New Roman"/>
          <w:sz w:val="24"/>
          <w:szCs w:val="24"/>
        </w:rPr>
        <w:t>Esses equipamentos públicos representam espaços de convívio social, integração comunitária e promoção da saúde, contribuindo para o desenvolvimento físico e emocional, sobretudo de crianças, adolescentes e jovens. Além de funcionarem como instrumento de lazer, as quadras poliesportivas cumprem importante papel de prevenção à violência e ao uso de drogas, oferecendo alternativas positivas de ocupação do tempo livre e fortalecendo vínculos comunitários.</w:t>
      </w:r>
    </w:p>
    <w:p w:rsidR="002F3EBF" w:rsidRPr="002F3EBF" w:rsidRDefault="002F3EBF" w:rsidP="002F3EBF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2F3EBF">
        <w:rPr>
          <w:rFonts w:ascii="Times New Roman" w:hAnsi="Times New Roman" w:cs="Times New Roman"/>
          <w:sz w:val="24"/>
          <w:szCs w:val="24"/>
        </w:rPr>
        <w:t>A iniciativa encontra amparo no art. 217 da Constituição Federal, que impõe ao Poder Público o dever de fomentar práticas desportivas formais e não formais, como direito de cada cidadão. Também se harmoniza com o disposto no Estatuto da Criança e do Adolescente (Lei Federal nº 8.069/1990), que assegura às crianças e adolescentes o direito ao esporte, ao lazer e à convivência comunitária.</w:t>
      </w:r>
    </w:p>
    <w:p w:rsidR="002F3EBF" w:rsidRPr="002F3EBF" w:rsidRDefault="002F3EBF" w:rsidP="002F3EBF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2F3EBF">
        <w:rPr>
          <w:rFonts w:ascii="Times New Roman" w:hAnsi="Times New Roman" w:cs="Times New Roman"/>
          <w:sz w:val="24"/>
          <w:szCs w:val="24"/>
        </w:rPr>
        <w:t>No plano internacional, a medida dialoga com os Objetivos de Desenvolvimento Sustentável (ODS) da ONU, em especial o ODS 3 (Saúde e Bem-Estar) e o ODS 11 (Cidades e Comunidades Sustentáveis), ao estimular práticas esportivas inclusivas, saudáveis e integradas ao espaço urbano.</w:t>
      </w:r>
    </w:p>
    <w:p w:rsidR="002F3EBF" w:rsidRPr="002F3EBF" w:rsidRDefault="002F3EBF" w:rsidP="002F3EBF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2F3EBF">
        <w:rPr>
          <w:rFonts w:ascii="Times New Roman" w:hAnsi="Times New Roman" w:cs="Times New Roman"/>
          <w:sz w:val="24"/>
          <w:szCs w:val="24"/>
        </w:rPr>
        <w:t>Por fim, a proposta se alinha à Agenda Transversal de Políticas Públicas do Município de Niterói, com especial atenção à juventude, às mulheres, à primeira infância e à pauta antirracista, assegurando que os benefícios do esporte cheguem de forma ampla, igualitária e inclusiva a toda a população.</w:t>
      </w:r>
    </w:p>
    <w:p w:rsidR="005F2B9D" w:rsidRPr="00EB3CEC" w:rsidRDefault="002F3EBF" w:rsidP="002F3EBF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2F3EBF">
        <w:rPr>
          <w:rFonts w:ascii="Times New Roman" w:hAnsi="Times New Roman" w:cs="Times New Roman"/>
          <w:sz w:val="24"/>
          <w:szCs w:val="24"/>
        </w:rPr>
        <w:t>Diante do exposto, resta clara a relevância desta emenda para a melhoria da qualidade de vida da população e para o fortalecimento das políticas públicas de esporte, lazer e cidadania.</w:t>
      </w:r>
    </w:p>
    <w:p w:rsidR="005F2B9D" w:rsidRPr="00EB3CEC" w:rsidRDefault="005F2B9D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5F2B9D" w:rsidRDefault="005F2B9D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F3EBF" w:rsidRDefault="002F3EBF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F3EBF" w:rsidRDefault="002F3EBF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F3EBF" w:rsidRDefault="002F3EBF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F3EBF" w:rsidRPr="00EB3CEC" w:rsidRDefault="002F3EBF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5F2B9D" w:rsidRPr="00EB3CEC" w:rsidRDefault="005F2B9D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EB3CEC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EB3CEC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77643" w:rsidRPr="00EB3CEC">
        <w:rPr>
          <w:rFonts w:ascii="Times New Roman" w:hAnsi="Times New Roman" w:cs="Times New Roman"/>
          <w:sz w:val="24"/>
          <w:szCs w:val="24"/>
        </w:rPr>
        <w:t>17</w:t>
      </w:r>
      <w:r w:rsidRPr="00EB3CEC">
        <w:rPr>
          <w:rFonts w:ascii="Times New Roman" w:hAnsi="Times New Roman" w:cs="Times New Roman"/>
          <w:sz w:val="24"/>
          <w:szCs w:val="24"/>
        </w:rPr>
        <w:t xml:space="preserve"> de setembro de </w:t>
      </w:r>
      <w:r w:rsidRPr="00EB3CEC">
        <w:rPr>
          <w:rFonts w:ascii="Times New Roman" w:hAnsi="Times New Roman" w:cs="Times New Roman"/>
          <w:spacing w:val="-2"/>
          <w:sz w:val="24"/>
          <w:szCs w:val="24"/>
        </w:rPr>
        <w:t>2025.</w:t>
      </w:r>
    </w:p>
    <w:p w:rsidR="00833624" w:rsidRPr="00D46AAD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D46AAD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D46AAD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D46AAD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DA3619" w:rsidRPr="00D46AAD" w:rsidRDefault="00DA3619">
      <w:pPr>
        <w:pStyle w:val="Corpodetexto"/>
        <w:spacing w:before="58"/>
        <w:rPr>
          <w:rFonts w:ascii="Times New Roman" w:hAnsi="Times New Roman" w:cs="Times New Roman"/>
          <w:sz w:val="20"/>
          <w:szCs w:val="20"/>
        </w:rPr>
      </w:pPr>
    </w:p>
    <w:p w:rsidR="00DA3619" w:rsidRPr="002F3EBF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D46AAD">
        <w:rPr>
          <w:rFonts w:ascii="Times New Roman" w:hAnsi="Times New Roman" w:cs="Times New Roman"/>
          <w:sz w:val="20"/>
          <w:szCs w:val="20"/>
        </w:rPr>
        <w:tab/>
      </w:r>
      <w:r w:rsidRPr="002F3EB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EBF">
        <w:rPr>
          <w:rFonts w:ascii="Times New Roman" w:hAnsi="Times New Roman" w:cs="Times New Roman"/>
          <w:sz w:val="24"/>
          <w:szCs w:val="24"/>
        </w:rPr>
        <w:tab/>
      </w:r>
    </w:p>
    <w:p w:rsidR="00DA3619" w:rsidRPr="002F3EBF" w:rsidRDefault="00DA3619">
      <w:pPr>
        <w:pStyle w:val="Corpodetexto"/>
        <w:spacing w:before="5"/>
        <w:rPr>
          <w:rFonts w:ascii="Times New Roman" w:hAnsi="Times New Roman" w:cs="Times New Roman"/>
          <w:sz w:val="24"/>
          <w:szCs w:val="24"/>
        </w:rPr>
      </w:pPr>
    </w:p>
    <w:p w:rsidR="00833624" w:rsidRPr="002F3EBF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EBF">
        <w:rPr>
          <w:rFonts w:ascii="Times New Roman" w:hAnsi="Times New Roman" w:cs="Times New Roman"/>
          <w:b/>
          <w:sz w:val="24"/>
          <w:szCs w:val="24"/>
        </w:rPr>
        <w:t>Rodrigo Farah</w:t>
      </w:r>
    </w:p>
    <w:p w:rsidR="00DA3619" w:rsidRPr="002F3EBF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EBF">
        <w:rPr>
          <w:rFonts w:ascii="Times New Roman" w:hAnsi="Times New Roman" w:cs="Times New Roman"/>
          <w:b/>
          <w:spacing w:val="-2"/>
          <w:sz w:val="24"/>
          <w:szCs w:val="24"/>
        </w:rPr>
        <w:t>Vereador</w:t>
      </w:r>
    </w:p>
    <w:sectPr w:rsidR="00DA3619" w:rsidRPr="002F3EBF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023C0" w:rsidRDefault="005023C0">
      <w:r>
        <w:separator/>
      </w:r>
    </w:p>
  </w:endnote>
  <w:endnote w:type="continuationSeparator" w:id="0">
    <w:p w:rsidR="005023C0" w:rsidRDefault="005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023C0" w:rsidRDefault="005023C0">
      <w:r>
        <w:separator/>
      </w:r>
    </w:p>
  </w:footnote>
  <w:footnote w:type="continuationSeparator" w:id="0">
    <w:p w:rsidR="005023C0" w:rsidRDefault="005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83480"/>
    <w:rsid w:val="0018441D"/>
    <w:rsid w:val="002437B8"/>
    <w:rsid w:val="00253B4A"/>
    <w:rsid w:val="0027131A"/>
    <w:rsid w:val="002F3EBF"/>
    <w:rsid w:val="003A2C16"/>
    <w:rsid w:val="004866D0"/>
    <w:rsid w:val="004C11DE"/>
    <w:rsid w:val="004D0D51"/>
    <w:rsid w:val="005023C0"/>
    <w:rsid w:val="005C7EE0"/>
    <w:rsid w:val="005D70EC"/>
    <w:rsid w:val="005F2B9D"/>
    <w:rsid w:val="00731371"/>
    <w:rsid w:val="00813507"/>
    <w:rsid w:val="00833624"/>
    <w:rsid w:val="00B818E1"/>
    <w:rsid w:val="00C251BA"/>
    <w:rsid w:val="00CE3D36"/>
    <w:rsid w:val="00D465BF"/>
    <w:rsid w:val="00D46AAD"/>
    <w:rsid w:val="00D857AA"/>
    <w:rsid w:val="00D97D47"/>
    <w:rsid w:val="00DA3619"/>
    <w:rsid w:val="00DD401F"/>
    <w:rsid w:val="00E55979"/>
    <w:rsid w:val="00EB3CEC"/>
    <w:rsid w:val="00F75D23"/>
    <w:rsid w:val="00F77643"/>
    <w:rsid w:val="00FC26F9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D613E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585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7</cp:revision>
  <dcterms:created xsi:type="dcterms:W3CDTF">2025-09-17T19:15:00Z</dcterms:created>
  <dcterms:modified xsi:type="dcterms:W3CDTF">2025-10-01T18:39:00Z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