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2D5419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FE2DA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2D5419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50C0A" w:rsidRPr="00450C0A">
        <w:rPr>
          <w:rFonts w:ascii="Tahoma" w:hAnsi="Tahoma" w:cs="Tahoma"/>
          <w:b/>
          <w:sz w:val="16"/>
          <w:szCs w:val="16"/>
        </w:rPr>
        <w:t>PLANTA GENÉRICA DE VALORES</w:t>
      </w:r>
      <w:r w:rsidR="00450C0A" w:rsidRPr="0086352A">
        <w:rPr>
          <w:rFonts w:ascii="Tahoma" w:hAnsi="Tahoma" w:cs="Tahoma"/>
          <w:b/>
          <w:sz w:val="16"/>
          <w:szCs w:val="16"/>
        </w:rPr>
        <w:t xml:space="preserve"> </w:t>
      </w:r>
      <w:r w:rsidR="0086352A" w:rsidRPr="0086352A">
        <w:rPr>
          <w:rFonts w:ascii="Tahoma" w:hAnsi="Tahoma" w:cs="Tahoma"/>
          <w:b/>
          <w:sz w:val="16"/>
          <w:szCs w:val="16"/>
        </w:rPr>
        <w:t>– ELABORADO</w:t>
      </w:r>
      <w:r w:rsidR="00B70A1F">
        <w:rPr>
          <w:rFonts w:ascii="Tahoma" w:hAnsi="Tahoma" w:cs="Tahoma"/>
          <w:b/>
          <w:sz w:val="16"/>
          <w:szCs w:val="16"/>
        </w:rPr>
        <w:t xml:space="preserve"> e IMPLANTADO</w:t>
      </w:r>
      <w:r w:rsidR="0086352A" w:rsidRPr="0086352A">
        <w:rPr>
          <w:rFonts w:ascii="Tahoma" w:hAnsi="Tahoma" w:cs="Tahoma"/>
          <w:b/>
          <w:sz w:val="16"/>
          <w:szCs w:val="16"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86352A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 Consolidada do Plano Plurianual 2026-2029 para o quadriênio 2026/2029, no Programa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50C0A" w:rsidRPr="00450C0A">
        <w:rPr>
          <w:rFonts w:ascii="Tahoma" w:hAnsi="Tahoma" w:cs="Tahoma"/>
          <w:b/>
          <w:sz w:val="16"/>
          <w:szCs w:val="16"/>
        </w:rPr>
        <w:t>0149 - GESTÃO PÚBLICA INOVADORA, TRANSPARENTE E PARTICIPATIVA</w:t>
      </w:r>
      <w:r w:rsidR="00450C0A" w:rsidRPr="00450C0A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,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2D5419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2D5419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450C0A" w:rsidRPr="00450C0A">
        <w:rPr>
          <w:rFonts w:ascii="Tahoma" w:hAnsi="Tahoma" w:cs="Tahoma"/>
          <w:b/>
          <w:sz w:val="16"/>
          <w:szCs w:val="16"/>
        </w:rPr>
        <w:t>PLANTA GENÉRICA DE VALORES</w:t>
      </w:r>
      <w:r w:rsidR="00450C0A" w:rsidRPr="0086352A">
        <w:rPr>
          <w:rFonts w:ascii="Tahoma" w:hAnsi="Tahoma" w:cs="Tahoma"/>
          <w:b/>
          <w:sz w:val="16"/>
          <w:szCs w:val="16"/>
        </w:rPr>
        <w:t xml:space="preserve"> – </w:t>
      </w:r>
      <w:r w:rsidR="00B70A1F" w:rsidRPr="0086352A">
        <w:rPr>
          <w:rFonts w:ascii="Tahoma" w:hAnsi="Tahoma" w:cs="Tahoma"/>
          <w:b/>
          <w:sz w:val="16"/>
          <w:szCs w:val="16"/>
        </w:rPr>
        <w:t>ELABORADO</w:t>
      </w:r>
      <w:r w:rsidR="00B70A1F">
        <w:rPr>
          <w:rFonts w:ascii="Tahoma" w:hAnsi="Tahoma" w:cs="Tahoma"/>
          <w:b/>
          <w:sz w:val="16"/>
          <w:szCs w:val="16"/>
        </w:rPr>
        <w:t xml:space="preserve"> e IMPLANTADO</w:t>
      </w:r>
      <w:r w:rsidR="0086352A" w:rsidRPr="0086352A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0086352A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86352A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450C0A" w:rsidRPr="00450C0A">
        <w:rPr>
          <w:rFonts w:ascii="Tahoma" w:hAnsi="Tahoma" w:cs="Tahoma"/>
          <w:b/>
          <w:sz w:val="16"/>
          <w:szCs w:val="16"/>
        </w:rPr>
        <w:t>0149 - GESTÃO PÚBLICA INOVADORA, TRANSPARENTE E PARTICIPATIVA</w:t>
      </w:r>
      <w:r w:rsidR="00450C0A" w:rsidRPr="00450C0A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,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do Projeto de Lei 361/2025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450C0A" w:rsidP="005B580D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50C0A">
              <w:rPr>
                <w:rFonts w:ascii="Tahoma" w:hAnsi="Tahoma" w:cs="Tahoma"/>
                <w:b/>
                <w:sz w:val="16"/>
                <w:szCs w:val="16"/>
              </w:rPr>
              <w:t>GESTÃO PÚBLICA INOVADORA, TRANSPARENTE E PARTICIPATIVA</w:t>
            </w:r>
            <w:r w:rsidRPr="00450C0A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,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284FA4" w:rsidRDefault="00450C0A" w:rsidP="20FF0B1A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450C0A">
              <w:rPr>
                <w:rFonts w:ascii="Tahoma" w:hAnsi="Tahoma" w:cs="Tahoma"/>
                <w:b/>
                <w:sz w:val="16"/>
                <w:szCs w:val="16"/>
              </w:rPr>
              <w:t>PLANTA GENÉRICA DE VALORES</w:t>
            </w:r>
            <w:r w:rsidRPr="0086352A">
              <w:rPr>
                <w:rFonts w:ascii="Tahoma" w:hAnsi="Tahoma" w:cs="Tahoma"/>
                <w:b/>
                <w:sz w:val="16"/>
                <w:szCs w:val="16"/>
              </w:rPr>
              <w:t xml:space="preserve"> – </w:t>
            </w:r>
            <w:r w:rsidR="00B70A1F" w:rsidRPr="0086352A">
              <w:rPr>
                <w:rFonts w:ascii="Tahoma" w:hAnsi="Tahoma" w:cs="Tahoma"/>
                <w:b/>
                <w:sz w:val="16"/>
                <w:szCs w:val="16"/>
              </w:rPr>
              <w:t>ELABORADO</w:t>
            </w:r>
            <w:r w:rsidR="00B70A1F">
              <w:rPr>
                <w:rFonts w:ascii="Tahoma" w:hAnsi="Tahoma" w:cs="Tahoma"/>
                <w:b/>
                <w:sz w:val="16"/>
                <w:szCs w:val="16"/>
              </w:rPr>
              <w:t xml:space="preserve"> e IMPLANTADO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2E3C0D" w:rsidRDefault="00450C0A" w:rsidP="00B70A1F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 w:rsidRPr="002E3C0D">
              <w:rPr>
                <w:rFonts w:ascii="Tahoma" w:hAnsi="Tahoma" w:cs="Tahoma"/>
                <w:sz w:val="16"/>
                <w:szCs w:val="16"/>
              </w:rPr>
              <w:t xml:space="preserve">Elaborar </w:t>
            </w:r>
            <w:r w:rsidR="00B70A1F">
              <w:rPr>
                <w:rFonts w:ascii="Tahoma" w:hAnsi="Tahoma" w:cs="Tahoma"/>
                <w:sz w:val="16"/>
                <w:szCs w:val="16"/>
              </w:rPr>
              <w:t xml:space="preserve">e Implantar </w:t>
            </w:r>
            <w:r w:rsidRPr="002E3C0D">
              <w:rPr>
                <w:rFonts w:ascii="Tahoma" w:hAnsi="Tahoma" w:cs="Tahoma"/>
                <w:sz w:val="16"/>
                <w:szCs w:val="16"/>
              </w:rPr>
              <w:t xml:space="preserve">a nova </w:t>
            </w:r>
            <w:r w:rsidRPr="002E3C0D">
              <w:rPr>
                <w:rStyle w:val="Forte"/>
                <w:rFonts w:ascii="Tahoma" w:hAnsi="Tahoma" w:cs="Tahoma"/>
                <w:sz w:val="16"/>
                <w:szCs w:val="16"/>
              </w:rPr>
              <w:t>Planta Genérica de Valores (PGV)</w:t>
            </w:r>
            <w:r w:rsidRPr="002E3C0D">
              <w:rPr>
                <w:rFonts w:ascii="Tahoma" w:hAnsi="Tahoma" w:cs="Tahoma"/>
                <w:sz w:val="16"/>
                <w:szCs w:val="16"/>
              </w:rPr>
              <w:t xml:space="preserve"> do Município de Niterói, com o objetivo de atualizar e corrigir a defasagem existente na base de cálculo dos tributos imobiliários, garantindo justiça fiscal e adequação à realidade urbana e econômica atual. Desde a década de 1970, quando foi elaborada a última PGV, Niterói passou por profundas transformações em sua configuração urbanística, com intensa valorização de determinados bairros, expansão de áreas antes subocupadas e mudanças significativas no uso e ocupação do solo. A atualização da PGV permitirá ao Município alinhar-se às práticas modernas de gestão tributária e territorial, fortalecendo o equilíbrio fiscal e promovendo a equidade entre os contribuintes.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86352A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86352A" w:rsidRDefault="00B70A1F" w:rsidP="00EF1002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SMF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86352A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44438084"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86352A" w:rsidRDefault="002310FD" w:rsidP="20FF0B1A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86352A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001C5E27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86352A">
        <w:trPr>
          <w:trHeight w:val="388"/>
        </w:trPr>
        <w:tc>
          <w:tcPr>
            <w:tcW w:w="945" w:type="dxa"/>
            <w:vMerge/>
            <w:vAlign w:val="center"/>
          </w:tcPr>
          <w:p w:rsidR="0030528B" w:rsidRPr="0086352A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86352A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86352A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86352A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DC0798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1C5E27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34.35pt;margin-top:-.85pt;width:.8pt;height:96pt;flip:x;z-index:25166848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656F6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656F65">
              <w:rPr>
                <w:rFonts w:ascii="Tahoma" w:hAnsi="Tahoma" w:cs="Tahoma"/>
                <w:sz w:val="16"/>
                <w:szCs w:val="16"/>
              </w:rPr>
              <w:t>2.000</w:t>
            </w:r>
            <w:r w:rsidR="008961B1">
              <w:rPr>
                <w:rFonts w:ascii="Tahoma" w:hAnsi="Tahoma" w:cs="Tahoma"/>
                <w:sz w:val="16"/>
                <w:szCs w:val="16"/>
              </w:rPr>
              <w:t>.000</w:t>
            </w:r>
            <w:r w:rsidRPr="001E5058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DC0798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8961B1" w:rsidP="00656F6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,00</w:t>
            </w:r>
            <w:r w:rsidR="001C5E27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656F6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656F65">
              <w:rPr>
                <w:rFonts w:ascii="Tahoma" w:hAnsi="Tahoma" w:cs="Tahoma"/>
                <w:sz w:val="16"/>
                <w:szCs w:val="16"/>
              </w:rPr>
              <w:t>500.00</w:t>
            </w:r>
            <w:r w:rsidRPr="001E5058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656F6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0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8961B1" w:rsidP="00284FA4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  <w:r w:rsidR="001C5E27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8961B1" w:rsidP="00656F6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656F65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656F6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0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284FA4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656F6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86352A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86352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86352A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FE2DA2" w:rsidRDefault="00FE2DA2" w:rsidP="00FE2DA2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FE2DA2" w:rsidRPr="00644C75" w:rsidTr="00284FA4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284FA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284FA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FE2DA2" w:rsidRPr="00644C75" w:rsidTr="00284FA4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811B66" w:rsidRDefault="00FE2DA2" w:rsidP="00CF64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811B66">
              <w:rPr>
                <w:rFonts w:ascii="Tahoma" w:hAnsi="Tahoma" w:cs="Tahoma"/>
                <w:sz w:val="18"/>
                <w:szCs w:val="18"/>
              </w:rPr>
              <w:t>0</w:t>
            </w:r>
            <w:r w:rsidR="0074007A">
              <w:rPr>
                <w:rFonts w:ascii="Tahoma" w:hAnsi="Tahoma" w:cs="Tahoma"/>
                <w:sz w:val="18"/>
                <w:szCs w:val="18"/>
              </w:rPr>
              <w:t>0</w:t>
            </w:r>
            <w:r w:rsidRPr="00811B66">
              <w:rPr>
                <w:rFonts w:ascii="Tahoma" w:hAnsi="Tahoma" w:cs="Tahoma"/>
                <w:sz w:val="18"/>
                <w:szCs w:val="18"/>
              </w:rPr>
              <w:t>1</w:t>
            </w:r>
            <w:r w:rsidR="0074007A">
              <w:rPr>
                <w:rFonts w:ascii="Tahoma" w:hAnsi="Tahoma" w:cs="Tahoma"/>
                <w:sz w:val="18"/>
                <w:szCs w:val="18"/>
              </w:rPr>
              <w:t>0</w:t>
            </w:r>
            <w:r w:rsidRPr="00811B66">
              <w:rPr>
                <w:rFonts w:ascii="Tahoma" w:hAnsi="Tahoma" w:cs="Tahoma"/>
                <w:sz w:val="18"/>
                <w:szCs w:val="18"/>
              </w:rPr>
              <w:t xml:space="preserve"> | </w:t>
            </w:r>
            <w:r>
              <w:rPr>
                <w:rFonts w:ascii="Tahoma" w:hAnsi="Tahoma" w:cs="Tahoma"/>
                <w:sz w:val="18"/>
                <w:szCs w:val="18"/>
              </w:rPr>
              <w:t>C</w:t>
            </w:r>
            <w:r w:rsidR="00CF6479">
              <w:rPr>
                <w:rFonts w:ascii="Tahoma" w:hAnsi="Tahoma" w:cs="Tahoma"/>
                <w:sz w:val="18"/>
                <w:szCs w:val="18"/>
              </w:rPr>
              <w:t>idade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4007A">
              <w:rPr>
                <w:rFonts w:ascii="Tahoma" w:hAnsi="Tahoma" w:cs="Tahoma"/>
                <w:sz w:val="18"/>
                <w:szCs w:val="18"/>
              </w:rPr>
              <w:t>Urbanizada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CF647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 w:rsidR="00BC4065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CF6479">
              <w:rPr>
                <w:rFonts w:ascii="Tahoma" w:hAnsi="Tahoma" w:cs="Tahoma"/>
                <w:sz w:val="16"/>
                <w:szCs w:val="16"/>
              </w:rPr>
              <w:t>1</w:t>
            </w:r>
            <w:r w:rsidR="008961B1">
              <w:rPr>
                <w:rFonts w:ascii="Tahoma" w:hAnsi="Tahoma" w:cs="Tahoma"/>
                <w:sz w:val="16"/>
                <w:szCs w:val="16"/>
              </w:rPr>
              <w:t>.</w:t>
            </w:r>
            <w:r w:rsidR="00CF6479">
              <w:rPr>
                <w:rFonts w:ascii="Tahoma" w:hAnsi="Tahoma" w:cs="Tahoma"/>
                <w:sz w:val="16"/>
                <w:szCs w:val="16"/>
              </w:rPr>
              <w:t>2</w:t>
            </w:r>
            <w:r w:rsidR="008961B1">
              <w:rPr>
                <w:rFonts w:ascii="Tahoma" w:hAnsi="Tahoma" w:cs="Tahoma"/>
                <w:sz w:val="16"/>
                <w:szCs w:val="16"/>
              </w:rPr>
              <w:t>0</w:t>
            </w:r>
            <w:r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  <w:tr w:rsidR="00FE2DA2" w:rsidRPr="00644C75" w:rsidTr="00284FA4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284FA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284FA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FE2DA2" w:rsidRPr="00644C75" w:rsidTr="00284FA4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CF6479" w:rsidP="00CF647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6"/>
                <w:szCs w:val="16"/>
              </w:rPr>
              <w:t>0140</w:t>
            </w:r>
            <w:r w:rsidR="00FE2DA2" w:rsidRPr="00DA19EB">
              <w:rPr>
                <w:rFonts w:ascii="Tahoma" w:hAnsi="Tahoma" w:cs="Tahoma"/>
                <w:sz w:val="16"/>
                <w:szCs w:val="16"/>
              </w:rPr>
              <w:t xml:space="preserve"> |</w:t>
            </w:r>
            <w:r>
              <w:rPr>
                <w:rFonts w:ascii="Tahoma" w:hAnsi="Tahoma" w:cs="Tahoma"/>
                <w:sz w:val="16"/>
                <w:szCs w:val="16"/>
              </w:rPr>
              <w:t xml:space="preserve">Justiça, Cidadania e Diversidade 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CF6479" w:rsidP="00CF647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1.300.000,00</w:t>
            </w:r>
          </w:p>
        </w:tc>
      </w:tr>
    </w:tbl>
    <w:p w:rsidR="00450C0A" w:rsidRDefault="00450C0A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p w:rsidR="6EB48AD2" w:rsidRPr="00904B9E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904B9E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414ECA" w:rsidRPr="00110BC8" w:rsidRDefault="00414ECA" w:rsidP="00110BC8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A presente emenda tem por objetivo incluir, no Plano Plurianual 2026–2029 do Município de Niterói, a ação voltada à </w:t>
      </w:r>
      <w:r w:rsidRPr="00110BC8">
        <w:rPr>
          <w:rStyle w:val="Forte"/>
          <w:rFonts w:ascii="Tahoma" w:hAnsi="Tahoma" w:cs="Tahoma"/>
          <w:sz w:val="22"/>
          <w:szCs w:val="22"/>
        </w:rPr>
        <w:t>elaboração da nova Planta Genérica de Valores (PGV)</w:t>
      </w:r>
      <w:r w:rsidRPr="00110BC8">
        <w:rPr>
          <w:rFonts w:ascii="Tahoma" w:hAnsi="Tahoma" w:cs="Tahoma"/>
          <w:sz w:val="22"/>
          <w:szCs w:val="22"/>
        </w:rPr>
        <w:t>, instrumento essencial para garantir a justiça fiscal, o equilíbrio orçamentário e a atualização do sistema tributário municipal, conforme determina a Constituição Federal e a legislação infraconstitucional.</w:t>
      </w:r>
    </w:p>
    <w:p w:rsidR="007F5A21" w:rsidRPr="00110BC8" w:rsidRDefault="007F5A21" w:rsidP="00110BC8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A </w:t>
      </w:r>
      <w:r w:rsidRPr="00110BC8">
        <w:rPr>
          <w:rStyle w:val="Forte"/>
          <w:rFonts w:ascii="Tahoma" w:hAnsi="Tahoma" w:cs="Tahoma"/>
          <w:sz w:val="22"/>
          <w:szCs w:val="22"/>
        </w:rPr>
        <w:t>Planta Genérica de Valores (PGV)</w:t>
      </w:r>
      <w:r w:rsidRPr="00110BC8">
        <w:rPr>
          <w:rFonts w:ascii="Tahoma" w:hAnsi="Tahoma" w:cs="Tahoma"/>
          <w:sz w:val="22"/>
          <w:szCs w:val="22"/>
        </w:rPr>
        <w:t xml:space="preserve"> constitui o instrumento legal que estabelece os </w:t>
      </w:r>
      <w:r w:rsidRPr="00110BC8">
        <w:rPr>
          <w:rStyle w:val="Forte"/>
          <w:rFonts w:ascii="Tahoma" w:hAnsi="Tahoma" w:cs="Tahoma"/>
          <w:sz w:val="22"/>
          <w:szCs w:val="22"/>
        </w:rPr>
        <w:t>valores venais dos imóveis urbanos</w:t>
      </w:r>
      <w:r w:rsidRPr="00110BC8">
        <w:rPr>
          <w:rFonts w:ascii="Tahoma" w:hAnsi="Tahoma" w:cs="Tahoma"/>
          <w:sz w:val="22"/>
          <w:szCs w:val="22"/>
        </w:rPr>
        <w:t xml:space="preserve">, servindo como </w:t>
      </w:r>
      <w:r w:rsidRPr="00110BC8">
        <w:rPr>
          <w:rStyle w:val="Forte"/>
          <w:rFonts w:ascii="Tahoma" w:hAnsi="Tahoma" w:cs="Tahoma"/>
          <w:sz w:val="22"/>
          <w:szCs w:val="22"/>
        </w:rPr>
        <w:t>base de cálculo do Imposto Predial e Territorial Urbano (IPTU)</w:t>
      </w:r>
      <w:r w:rsidRPr="00110BC8">
        <w:rPr>
          <w:rFonts w:ascii="Tahoma" w:hAnsi="Tahoma" w:cs="Tahoma"/>
          <w:sz w:val="22"/>
          <w:szCs w:val="22"/>
        </w:rPr>
        <w:t xml:space="preserve"> e, subsidiariamente, do </w:t>
      </w:r>
      <w:r w:rsidRPr="00110BC8">
        <w:rPr>
          <w:rStyle w:val="Forte"/>
          <w:rFonts w:ascii="Tahoma" w:hAnsi="Tahoma" w:cs="Tahoma"/>
          <w:sz w:val="22"/>
          <w:szCs w:val="22"/>
        </w:rPr>
        <w:t>Imposto sobre Transmissão de Bens Imóveis (ITBI)</w:t>
      </w:r>
      <w:r w:rsidRPr="00110BC8">
        <w:rPr>
          <w:rFonts w:ascii="Tahoma" w:hAnsi="Tahoma" w:cs="Tahoma"/>
          <w:sz w:val="22"/>
          <w:szCs w:val="22"/>
        </w:rPr>
        <w:t xml:space="preserve">, conforme o disposto no </w:t>
      </w:r>
      <w:r w:rsidRPr="00110BC8">
        <w:rPr>
          <w:rStyle w:val="Forte"/>
          <w:rFonts w:ascii="Tahoma" w:hAnsi="Tahoma" w:cs="Tahoma"/>
          <w:sz w:val="22"/>
          <w:szCs w:val="22"/>
        </w:rPr>
        <w:t>artigo 33 do Código Tributário Nacional (Lei nº 5.172/1966)</w:t>
      </w:r>
      <w:r w:rsidRPr="00110BC8">
        <w:rPr>
          <w:rFonts w:ascii="Tahoma" w:hAnsi="Tahoma" w:cs="Tahoma"/>
          <w:sz w:val="22"/>
          <w:szCs w:val="22"/>
        </w:rPr>
        <w:t xml:space="preserve">. O </w:t>
      </w:r>
      <w:r w:rsidRPr="00110BC8">
        <w:rPr>
          <w:rStyle w:val="Forte"/>
          <w:rFonts w:ascii="Tahoma" w:hAnsi="Tahoma" w:cs="Tahoma"/>
          <w:sz w:val="22"/>
          <w:szCs w:val="22"/>
        </w:rPr>
        <w:t>artigo 156, inciso I, da Constituição Federal</w:t>
      </w:r>
      <w:r w:rsidRPr="00110BC8">
        <w:rPr>
          <w:rFonts w:ascii="Tahoma" w:hAnsi="Tahoma" w:cs="Tahoma"/>
          <w:sz w:val="22"/>
          <w:szCs w:val="22"/>
        </w:rPr>
        <w:t xml:space="preserve"> atribui aos Municípios a competência para instituir e arrecadar o IPTU, impondo-lhes o dever de manter essa base de cálculo compatível com a realidade imobiliária local, em observância aos princípios da </w:t>
      </w:r>
      <w:r w:rsidRPr="00110BC8">
        <w:rPr>
          <w:rStyle w:val="Forte"/>
          <w:rFonts w:ascii="Tahoma" w:hAnsi="Tahoma" w:cs="Tahoma"/>
          <w:sz w:val="22"/>
          <w:szCs w:val="22"/>
        </w:rPr>
        <w:t>capacidade contributiva</w:t>
      </w:r>
      <w:r w:rsidRPr="00110BC8">
        <w:rPr>
          <w:rFonts w:ascii="Tahoma" w:hAnsi="Tahoma" w:cs="Tahoma"/>
          <w:sz w:val="22"/>
          <w:szCs w:val="22"/>
        </w:rPr>
        <w:t xml:space="preserve"> e da </w:t>
      </w:r>
      <w:r w:rsidRPr="00110BC8">
        <w:rPr>
          <w:rStyle w:val="Forte"/>
          <w:rFonts w:ascii="Tahoma" w:hAnsi="Tahoma" w:cs="Tahoma"/>
          <w:sz w:val="22"/>
          <w:szCs w:val="22"/>
        </w:rPr>
        <w:t>isonomia tributária</w:t>
      </w:r>
      <w:r w:rsidRPr="00110BC8">
        <w:rPr>
          <w:rFonts w:ascii="Tahoma" w:hAnsi="Tahoma" w:cs="Tahoma"/>
          <w:sz w:val="22"/>
          <w:szCs w:val="22"/>
        </w:rPr>
        <w:t xml:space="preserve"> (artigos 145, §1º, e 150, II, da CF/88).</w:t>
      </w:r>
    </w:p>
    <w:p w:rsidR="007F5A21" w:rsidRPr="00110BC8" w:rsidRDefault="007F5A21" w:rsidP="00110BC8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A </w:t>
      </w:r>
      <w:r w:rsidRPr="00110BC8">
        <w:rPr>
          <w:rStyle w:val="Forte"/>
          <w:rFonts w:ascii="Tahoma" w:hAnsi="Tahoma" w:cs="Tahoma"/>
          <w:sz w:val="22"/>
          <w:szCs w:val="22"/>
        </w:rPr>
        <w:t>jurisprudência do Supremo Tribunal Federal (ARE nº 1.245.097, Tema 1.079)</w:t>
      </w:r>
      <w:r w:rsidRPr="00110BC8">
        <w:rPr>
          <w:rFonts w:ascii="Tahoma" w:hAnsi="Tahoma" w:cs="Tahoma"/>
          <w:sz w:val="22"/>
          <w:szCs w:val="22"/>
        </w:rPr>
        <w:t xml:space="preserve"> reafirma a constitucionalidade da utilização de critérios técnicos e avaliações individualizadas para imóveis não contemplados na PGV, desde que os parâmetros estejam definidos em lei municipal e garantido o contraditório ao contribuinte. Já o </w:t>
      </w:r>
      <w:r w:rsidRPr="00110BC8">
        <w:rPr>
          <w:rStyle w:val="Forte"/>
          <w:rFonts w:ascii="Tahoma" w:hAnsi="Tahoma" w:cs="Tahoma"/>
          <w:sz w:val="22"/>
          <w:szCs w:val="22"/>
        </w:rPr>
        <w:t>Superior Tribunal de Justiça</w:t>
      </w:r>
      <w:r w:rsidRPr="00110BC8">
        <w:rPr>
          <w:rFonts w:ascii="Tahoma" w:hAnsi="Tahoma" w:cs="Tahoma"/>
          <w:sz w:val="22"/>
          <w:szCs w:val="22"/>
        </w:rPr>
        <w:t xml:space="preserve"> consolidou entendimento de que o valor venal utilizado para o IPTU deve estar amparado na </w:t>
      </w:r>
      <w:r w:rsidRPr="00110BC8">
        <w:rPr>
          <w:rStyle w:val="Forte"/>
          <w:rFonts w:ascii="Tahoma" w:hAnsi="Tahoma" w:cs="Tahoma"/>
          <w:sz w:val="22"/>
          <w:szCs w:val="22"/>
        </w:rPr>
        <w:t>Planta Genérica de Valores aprovada por lei</w:t>
      </w:r>
      <w:r w:rsidRPr="00110BC8">
        <w:rPr>
          <w:rFonts w:ascii="Tahoma" w:hAnsi="Tahoma" w:cs="Tahoma"/>
          <w:sz w:val="22"/>
          <w:szCs w:val="22"/>
        </w:rPr>
        <w:t xml:space="preserve">, vedando sua majoração por ato infralegal, conforme a </w:t>
      </w:r>
      <w:r w:rsidRPr="00110BC8">
        <w:rPr>
          <w:rStyle w:val="Forte"/>
          <w:rFonts w:ascii="Tahoma" w:hAnsi="Tahoma" w:cs="Tahoma"/>
          <w:sz w:val="22"/>
          <w:szCs w:val="22"/>
        </w:rPr>
        <w:t>Súmula 160 do STJ</w:t>
      </w:r>
      <w:r w:rsidRPr="00110BC8">
        <w:rPr>
          <w:rFonts w:ascii="Tahoma" w:hAnsi="Tahoma" w:cs="Tahoma"/>
          <w:sz w:val="22"/>
          <w:szCs w:val="22"/>
        </w:rPr>
        <w:t>, que proíbe a atualização do valor venal por decreto em percentual superior ao índice oficial de correção monetária.</w:t>
      </w:r>
    </w:p>
    <w:p w:rsidR="00656F65" w:rsidRPr="00110BC8" w:rsidRDefault="00656F65" w:rsidP="00110BC8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A atualização da </w:t>
      </w:r>
      <w:r w:rsidRPr="00110BC8">
        <w:rPr>
          <w:rStyle w:val="Forte"/>
          <w:rFonts w:ascii="Tahoma" w:hAnsi="Tahoma" w:cs="Tahoma"/>
          <w:sz w:val="22"/>
          <w:szCs w:val="22"/>
        </w:rPr>
        <w:t>Planta Genérica de Valores (PGV)</w:t>
      </w:r>
      <w:r w:rsidRPr="00110BC8">
        <w:rPr>
          <w:rFonts w:ascii="Tahoma" w:hAnsi="Tahoma" w:cs="Tahoma"/>
          <w:sz w:val="22"/>
          <w:szCs w:val="22"/>
        </w:rPr>
        <w:t xml:space="preserve"> do Município de Niterói constitui medida imprescindível para assegurar </w:t>
      </w:r>
      <w:r w:rsidRPr="00110BC8">
        <w:rPr>
          <w:rStyle w:val="Forte"/>
          <w:rFonts w:ascii="Tahoma" w:hAnsi="Tahoma" w:cs="Tahoma"/>
          <w:sz w:val="22"/>
          <w:szCs w:val="22"/>
        </w:rPr>
        <w:t>equidade tributária</w:t>
      </w:r>
      <w:r w:rsidRPr="00110BC8">
        <w:rPr>
          <w:rFonts w:ascii="Tahoma" w:hAnsi="Tahoma" w:cs="Tahoma"/>
          <w:sz w:val="22"/>
          <w:szCs w:val="22"/>
        </w:rPr>
        <w:t xml:space="preserve">, </w:t>
      </w:r>
      <w:r w:rsidRPr="00110BC8">
        <w:rPr>
          <w:rStyle w:val="Forte"/>
          <w:rFonts w:ascii="Tahoma" w:hAnsi="Tahoma" w:cs="Tahoma"/>
          <w:sz w:val="22"/>
          <w:szCs w:val="22"/>
        </w:rPr>
        <w:t>segurança jurídica</w:t>
      </w:r>
      <w:r w:rsidRPr="00110BC8">
        <w:rPr>
          <w:rFonts w:ascii="Tahoma" w:hAnsi="Tahoma" w:cs="Tahoma"/>
          <w:sz w:val="22"/>
          <w:szCs w:val="22"/>
        </w:rPr>
        <w:t xml:space="preserve"> e </w:t>
      </w:r>
      <w:r w:rsidRPr="00110BC8">
        <w:rPr>
          <w:rStyle w:val="Forte"/>
          <w:rFonts w:ascii="Tahoma" w:hAnsi="Tahoma" w:cs="Tahoma"/>
          <w:sz w:val="22"/>
          <w:szCs w:val="22"/>
        </w:rPr>
        <w:t>sustentabilidade fiscal</w:t>
      </w:r>
      <w:r w:rsidRPr="00110BC8">
        <w:rPr>
          <w:rFonts w:ascii="Tahoma" w:hAnsi="Tahoma" w:cs="Tahoma"/>
          <w:sz w:val="22"/>
          <w:szCs w:val="22"/>
        </w:rPr>
        <w:t xml:space="preserve">, em consonância com o princípio da </w:t>
      </w:r>
      <w:r w:rsidRPr="00110BC8">
        <w:rPr>
          <w:rStyle w:val="Forte"/>
          <w:rFonts w:ascii="Tahoma" w:hAnsi="Tahoma" w:cs="Tahoma"/>
          <w:sz w:val="22"/>
          <w:szCs w:val="22"/>
        </w:rPr>
        <w:t>legalidade tributária</w:t>
      </w:r>
      <w:r w:rsidRPr="00110BC8">
        <w:rPr>
          <w:rFonts w:ascii="Tahoma" w:hAnsi="Tahoma" w:cs="Tahoma"/>
          <w:sz w:val="22"/>
          <w:szCs w:val="22"/>
        </w:rPr>
        <w:t xml:space="preserve"> previsto no art. 150, I, da Constituição Federal e no art. 97, IV, do Código Tributário Nacional (CTN), que exige </w:t>
      </w:r>
      <w:r w:rsidRPr="00110BC8">
        <w:rPr>
          <w:rStyle w:val="Forte"/>
          <w:rFonts w:ascii="Tahoma" w:hAnsi="Tahoma" w:cs="Tahoma"/>
          <w:sz w:val="22"/>
          <w:szCs w:val="22"/>
        </w:rPr>
        <w:t>lei formal</w:t>
      </w:r>
      <w:r w:rsidRPr="00110BC8">
        <w:rPr>
          <w:rFonts w:ascii="Tahoma" w:hAnsi="Tahoma" w:cs="Tahoma"/>
          <w:sz w:val="22"/>
          <w:szCs w:val="22"/>
        </w:rPr>
        <w:t xml:space="preserve"> para a definição da base de cálculo dos tributos municipais.</w:t>
      </w:r>
    </w:p>
    <w:p w:rsidR="00656F65" w:rsidRPr="00110BC8" w:rsidRDefault="00656F65" w:rsidP="00110BC8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O </w:t>
      </w:r>
      <w:r w:rsidRPr="00110BC8">
        <w:rPr>
          <w:rStyle w:val="Forte"/>
          <w:rFonts w:ascii="Tahoma" w:hAnsi="Tahoma" w:cs="Tahoma"/>
          <w:sz w:val="22"/>
          <w:szCs w:val="22"/>
        </w:rPr>
        <w:t>Acórdão nº 224.589-0/20</w:t>
      </w:r>
      <w:r w:rsidRPr="00110BC8">
        <w:rPr>
          <w:rFonts w:ascii="Tahoma" w:hAnsi="Tahoma" w:cs="Tahoma"/>
          <w:sz w:val="22"/>
          <w:szCs w:val="22"/>
        </w:rPr>
        <w:t xml:space="preserve"> do </w:t>
      </w:r>
      <w:r w:rsidRPr="00110BC8">
        <w:rPr>
          <w:rStyle w:val="Forte"/>
          <w:rFonts w:ascii="Tahoma" w:hAnsi="Tahoma" w:cs="Tahoma"/>
          <w:sz w:val="22"/>
          <w:szCs w:val="22"/>
        </w:rPr>
        <w:t>Tribunal de Contas do Estado do Rio de Janeiro (TCE-RJ)</w:t>
      </w:r>
      <w:r w:rsidRPr="00110BC8">
        <w:rPr>
          <w:rFonts w:ascii="Tahoma" w:hAnsi="Tahoma" w:cs="Tahoma"/>
          <w:sz w:val="22"/>
          <w:szCs w:val="22"/>
        </w:rPr>
        <w:t xml:space="preserve">, referente à auditoria de monitoramento da gestão dos impostos imobiliários (IPTU e ITBI), constatou a </w:t>
      </w:r>
      <w:r w:rsidRPr="00110BC8">
        <w:rPr>
          <w:rStyle w:val="Forte"/>
          <w:rFonts w:ascii="Tahoma" w:hAnsi="Tahoma" w:cs="Tahoma"/>
          <w:sz w:val="22"/>
          <w:szCs w:val="22"/>
        </w:rPr>
        <w:t>inexistência de providências efetivas</w:t>
      </w:r>
      <w:r w:rsidRPr="00110BC8">
        <w:rPr>
          <w:rFonts w:ascii="Tahoma" w:hAnsi="Tahoma" w:cs="Tahoma"/>
          <w:sz w:val="22"/>
          <w:szCs w:val="22"/>
        </w:rPr>
        <w:t xml:space="preserve"> para revisão da PGV de Niterói, cuja última atualização legal remonta à </w:t>
      </w:r>
      <w:r w:rsidRPr="00110BC8">
        <w:rPr>
          <w:rStyle w:val="Forte"/>
          <w:rFonts w:ascii="Tahoma" w:hAnsi="Tahoma" w:cs="Tahoma"/>
          <w:sz w:val="22"/>
          <w:szCs w:val="22"/>
        </w:rPr>
        <w:t>Lei Municipal nº 2.587/2008</w:t>
      </w:r>
      <w:r w:rsidRPr="00110BC8">
        <w:rPr>
          <w:rFonts w:ascii="Tahoma" w:hAnsi="Tahoma" w:cs="Tahoma"/>
          <w:sz w:val="22"/>
          <w:szCs w:val="22"/>
        </w:rPr>
        <w:t xml:space="preserve">, apoiada nos antigos Decretos nº 1.944/1972 e nº </w:t>
      </w:r>
      <w:r w:rsidRPr="00110BC8">
        <w:rPr>
          <w:rFonts w:ascii="Tahoma" w:hAnsi="Tahoma" w:cs="Tahoma"/>
          <w:sz w:val="22"/>
          <w:szCs w:val="22"/>
        </w:rPr>
        <w:lastRenderedPageBreak/>
        <w:t xml:space="preserve">6.744/1993. Tal defasagem, conforme ressaltado pelo TCE-RJ, </w:t>
      </w:r>
      <w:r w:rsidRPr="00110BC8">
        <w:rPr>
          <w:rStyle w:val="Forte"/>
          <w:rFonts w:ascii="Tahoma" w:hAnsi="Tahoma" w:cs="Tahoma"/>
          <w:sz w:val="22"/>
          <w:szCs w:val="22"/>
        </w:rPr>
        <w:t>compromete a correspondência entre o valor venal e a realidade imobiliária local</w:t>
      </w:r>
      <w:r w:rsidRPr="00110BC8">
        <w:rPr>
          <w:rFonts w:ascii="Tahoma" w:hAnsi="Tahoma" w:cs="Tahoma"/>
          <w:sz w:val="22"/>
          <w:szCs w:val="22"/>
        </w:rPr>
        <w:t>, gerando distorções na cobrança do IPTU e na arrecadação municipal.</w:t>
      </w:r>
    </w:p>
    <w:p w:rsidR="00656F65" w:rsidRPr="00110BC8" w:rsidRDefault="00656F65" w:rsidP="00110BC8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O Tribunal destacou, ainda, que a </w:t>
      </w:r>
      <w:r w:rsidRPr="00110BC8">
        <w:rPr>
          <w:rStyle w:val="Forte"/>
          <w:rFonts w:ascii="Tahoma" w:hAnsi="Tahoma" w:cs="Tahoma"/>
          <w:sz w:val="22"/>
          <w:szCs w:val="22"/>
        </w:rPr>
        <w:t>Portaria nº 511/2009 do Ministério das Cidades</w:t>
      </w:r>
      <w:r w:rsidRPr="00110BC8">
        <w:rPr>
          <w:rFonts w:ascii="Tahoma" w:hAnsi="Tahoma" w:cs="Tahoma"/>
          <w:sz w:val="22"/>
          <w:szCs w:val="22"/>
        </w:rPr>
        <w:t xml:space="preserve"> recomenda a </w:t>
      </w:r>
      <w:r w:rsidRPr="00110BC8">
        <w:rPr>
          <w:rStyle w:val="Forte"/>
          <w:rFonts w:ascii="Tahoma" w:hAnsi="Tahoma" w:cs="Tahoma"/>
          <w:sz w:val="22"/>
          <w:szCs w:val="22"/>
        </w:rPr>
        <w:t>revisão da PGV a cada quatro anos</w:t>
      </w:r>
      <w:r w:rsidRPr="00110BC8">
        <w:rPr>
          <w:rFonts w:ascii="Tahoma" w:hAnsi="Tahoma" w:cs="Tahoma"/>
          <w:sz w:val="22"/>
          <w:szCs w:val="22"/>
        </w:rPr>
        <w:t xml:space="preserve"> em municípios com mais de 20 mil habitantes — orientação não observada em Niterói há mais de uma década e meia. A ausência dessa atualização tem produzido efeitos negativos diretos sobre a </w:t>
      </w:r>
      <w:r w:rsidRPr="00110BC8">
        <w:rPr>
          <w:rStyle w:val="Forte"/>
          <w:rFonts w:ascii="Tahoma" w:hAnsi="Tahoma" w:cs="Tahoma"/>
          <w:sz w:val="22"/>
          <w:szCs w:val="22"/>
        </w:rPr>
        <w:t>justiça fiscal</w:t>
      </w:r>
      <w:r w:rsidRPr="00110BC8">
        <w:rPr>
          <w:rFonts w:ascii="Tahoma" w:hAnsi="Tahoma" w:cs="Tahoma"/>
          <w:sz w:val="22"/>
          <w:szCs w:val="22"/>
        </w:rPr>
        <w:t>, pois imóveis situados em áreas altamente valorizadas continuam sendo tributados com base em valores venais defasados, enquanto regiões de menor valorização arcam proporcionalmente com carga tributária superior.</w:t>
      </w:r>
    </w:p>
    <w:p w:rsidR="007F5A21" w:rsidRPr="00110BC8" w:rsidRDefault="007F5A21" w:rsidP="00110BC8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No âmbito local, a </w:t>
      </w:r>
      <w:r w:rsidRPr="00110BC8">
        <w:rPr>
          <w:rStyle w:val="Forte"/>
          <w:rFonts w:ascii="Tahoma" w:hAnsi="Tahoma" w:cs="Tahoma"/>
          <w:sz w:val="22"/>
          <w:szCs w:val="22"/>
        </w:rPr>
        <w:t>Secretaria Municipal de Fazenda de Niterói</w:t>
      </w:r>
      <w:r w:rsidRPr="00110BC8">
        <w:rPr>
          <w:rFonts w:ascii="Tahoma" w:hAnsi="Tahoma" w:cs="Tahoma"/>
          <w:sz w:val="22"/>
          <w:szCs w:val="22"/>
        </w:rPr>
        <w:t xml:space="preserve"> mantém a </w:t>
      </w:r>
      <w:r w:rsidRPr="00110BC8">
        <w:rPr>
          <w:rStyle w:val="Forte"/>
          <w:rFonts w:ascii="Tahoma" w:hAnsi="Tahoma" w:cs="Tahoma"/>
          <w:sz w:val="22"/>
          <w:szCs w:val="22"/>
        </w:rPr>
        <w:t>Coletânea da Legislação Tributária</w:t>
      </w:r>
      <w:r w:rsidRPr="00110BC8">
        <w:rPr>
          <w:rFonts w:ascii="Tahoma" w:hAnsi="Tahoma" w:cs="Tahoma"/>
          <w:sz w:val="22"/>
          <w:szCs w:val="22"/>
        </w:rPr>
        <w:t xml:space="preserve">, que reúne as normas que regulamentam o IPTU, o ITBI e a base de cálculo municipal. Todavia, a cidade permanece com uma PGV </w:t>
      </w:r>
      <w:r w:rsidR="00656F65" w:rsidRPr="00110BC8">
        <w:rPr>
          <w:rFonts w:ascii="Tahoma" w:hAnsi="Tahoma" w:cs="Tahoma"/>
          <w:sz w:val="22"/>
          <w:szCs w:val="22"/>
        </w:rPr>
        <w:t xml:space="preserve">cuja </w:t>
      </w:r>
      <w:r w:rsidR="00656F65" w:rsidRPr="00110BC8">
        <w:rPr>
          <w:rFonts w:ascii="Tahoma" w:hAnsi="Tahoma" w:cs="Tahoma"/>
          <w:b/>
          <w:sz w:val="22"/>
          <w:szCs w:val="22"/>
        </w:rPr>
        <w:t>última atualização legal é de 2008</w:t>
      </w:r>
      <w:r w:rsidRPr="00110BC8">
        <w:rPr>
          <w:rFonts w:ascii="Tahoma" w:hAnsi="Tahoma" w:cs="Tahoma"/>
          <w:sz w:val="22"/>
          <w:szCs w:val="22"/>
        </w:rPr>
        <w:t xml:space="preserve">, defasada frente às transformações urbanísticas, econômicas e imobiliárias ocorridas ao longo das últimas décadas. A ausência de atualização periódica da PGV afronta os princípios da </w:t>
      </w:r>
      <w:r w:rsidRPr="00110BC8">
        <w:rPr>
          <w:rStyle w:val="Forte"/>
          <w:rFonts w:ascii="Tahoma" w:hAnsi="Tahoma" w:cs="Tahoma"/>
          <w:sz w:val="22"/>
          <w:szCs w:val="22"/>
        </w:rPr>
        <w:t>legalidade tributária</w:t>
      </w:r>
      <w:r w:rsidRPr="00110BC8">
        <w:rPr>
          <w:rFonts w:ascii="Tahoma" w:hAnsi="Tahoma" w:cs="Tahoma"/>
          <w:sz w:val="22"/>
          <w:szCs w:val="22"/>
        </w:rPr>
        <w:t xml:space="preserve">, da </w:t>
      </w:r>
      <w:r w:rsidRPr="00110BC8">
        <w:rPr>
          <w:rStyle w:val="Forte"/>
          <w:rFonts w:ascii="Tahoma" w:hAnsi="Tahoma" w:cs="Tahoma"/>
          <w:sz w:val="22"/>
          <w:szCs w:val="22"/>
        </w:rPr>
        <w:t>justiça fiscal</w:t>
      </w:r>
      <w:r w:rsidRPr="00110BC8">
        <w:rPr>
          <w:rFonts w:ascii="Tahoma" w:hAnsi="Tahoma" w:cs="Tahoma"/>
          <w:sz w:val="22"/>
          <w:szCs w:val="22"/>
        </w:rPr>
        <w:t xml:space="preserve"> e da </w:t>
      </w:r>
      <w:r w:rsidRPr="00110BC8">
        <w:rPr>
          <w:rStyle w:val="Forte"/>
          <w:rFonts w:ascii="Tahoma" w:hAnsi="Tahoma" w:cs="Tahoma"/>
          <w:sz w:val="22"/>
          <w:szCs w:val="22"/>
        </w:rPr>
        <w:t>transparência administrativa</w:t>
      </w:r>
      <w:r w:rsidRPr="00110BC8">
        <w:rPr>
          <w:rFonts w:ascii="Tahoma" w:hAnsi="Tahoma" w:cs="Tahoma"/>
          <w:sz w:val="22"/>
          <w:szCs w:val="22"/>
        </w:rPr>
        <w:t>, prejudicando a arrecadação equitativa e comprometendo o cumprimento das metas fiscais e do planejamento urbano.</w:t>
      </w:r>
    </w:p>
    <w:p w:rsidR="00E34EF0" w:rsidRPr="00110BC8" w:rsidRDefault="002618EA" w:rsidP="00110BC8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Nas últimas décadas, houve intensa </w:t>
      </w:r>
      <w:r w:rsidRPr="00110BC8">
        <w:rPr>
          <w:rStyle w:val="Forte"/>
          <w:rFonts w:ascii="Tahoma" w:hAnsi="Tahoma" w:cs="Tahoma"/>
          <w:sz w:val="22"/>
          <w:szCs w:val="22"/>
        </w:rPr>
        <w:t>valorização de bairros consolidados</w:t>
      </w:r>
      <w:r w:rsidRPr="00110BC8">
        <w:rPr>
          <w:rFonts w:ascii="Tahoma" w:hAnsi="Tahoma" w:cs="Tahoma"/>
          <w:sz w:val="22"/>
          <w:szCs w:val="22"/>
        </w:rPr>
        <w:t xml:space="preserve">, expansão de </w:t>
      </w:r>
      <w:r w:rsidRPr="00110BC8">
        <w:rPr>
          <w:rStyle w:val="Forte"/>
          <w:rFonts w:ascii="Tahoma" w:hAnsi="Tahoma" w:cs="Tahoma"/>
          <w:sz w:val="22"/>
          <w:szCs w:val="22"/>
        </w:rPr>
        <w:t>novas centralidades urbanas</w:t>
      </w:r>
      <w:r w:rsidRPr="00110BC8">
        <w:rPr>
          <w:rFonts w:ascii="Tahoma" w:hAnsi="Tahoma" w:cs="Tahoma"/>
          <w:sz w:val="22"/>
          <w:szCs w:val="22"/>
        </w:rPr>
        <w:t xml:space="preserve"> e ocupação de </w:t>
      </w:r>
      <w:r w:rsidRPr="00110BC8">
        <w:rPr>
          <w:rStyle w:val="Forte"/>
          <w:rFonts w:ascii="Tahoma" w:hAnsi="Tahoma" w:cs="Tahoma"/>
          <w:sz w:val="22"/>
          <w:szCs w:val="22"/>
        </w:rPr>
        <w:t>áreas antes despovoadas</w:t>
      </w:r>
      <w:r w:rsidRPr="00110BC8">
        <w:rPr>
          <w:rFonts w:ascii="Tahoma" w:hAnsi="Tahoma" w:cs="Tahoma"/>
          <w:sz w:val="22"/>
          <w:szCs w:val="22"/>
        </w:rPr>
        <w:t xml:space="preserve">, especialmente na Região Oceânica, alterando profundamente os padrões de uso e ocupação do solo. Essa defasagem, que ultrapassa cinquenta anos, compromete a </w:t>
      </w:r>
      <w:r w:rsidRPr="00110BC8">
        <w:rPr>
          <w:rStyle w:val="Forte"/>
          <w:rFonts w:ascii="Tahoma" w:hAnsi="Tahoma" w:cs="Tahoma"/>
          <w:sz w:val="22"/>
          <w:szCs w:val="22"/>
        </w:rPr>
        <w:t>equidade tributária</w:t>
      </w:r>
      <w:r w:rsidR="005971EF" w:rsidRPr="00110BC8">
        <w:rPr>
          <w:rStyle w:val="Forte"/>
          <w:rFonts w:ascii="Tahoma" w:hAnsi="Tahoma" w:cs="Tahoma"/>
          <w:sz w:val="22"/>
          <w:szCs w:val="22"/>
        </w:rPr>
        <w:t xml:space="preserve"> </w:t>
      </w:r>
      <w:r w:rsidR="005971EF" w:rsidRPr="00110BC8">
        <w:rPr>
          <w:rFonts w:ascii="Tahoma" w:hAnsi="Tahoma" w:cs="Tahoma"/>
          <w:b/>
          <w:sz w:val="22"/>
          <w:szCs w:val="22"/>
        </w:rPr>
        <w:t>e a justiça fiscal</w:t>
      </w:r>
      <w:r w:rsidR="00E34EF0" w:rsidRPr="00110BC8">
        <w:rPr>
          <w:rFonts w:ascii="Tahoma" w:hAnsi="Tahoma" w:cs="Tahoma"/>
          <w:sz w:val="22"/>
          <w:szCs w:val="22"/>
        </w:rPr>
        <w:t>, gerando distorções na arrecadação e injustiças entre contribuintes. Uma nova PGV permitirá corrigir essas distorções, atualizar a base de cálculo dos tributos imobiliários e adequar a política fiscal ao contexto urbano e econômico atual.</w:t>
      </w:r>
    </w:p>
    <w:p w:rsidR="00C947F3" w:rsidRPr="00110BC8" w:rsidRDefault="00C947F3" w:rsidP="00110BC8">
      <w:pPr>
        <w:pStyle w:val="NormalWeb"/>
        <w:spacing w:line="276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     A atualização da PGV está em consonância com os </w:t>
      </w:r>
      <w:r w:rsidRPr="00110BC8">
        <w:rPr>
          <w:rStyle w:val="Forte"/>
          <w:rFonts w:ascii="Tahoma" w:hAnsi="Tahoma" w:cs="Tahoma"/>
          <w:sz w:val="22"/>
          <w:szCs w:val="22"/>
        </w:rPr>
        <w:t>princípios da gestão fiscal responsável</w:t>
      </w:r>
      <w:r w:rsidRPr="00110BC8">
        <w:rPr>
          <w:rFonts w:ascii="Tahoma" w:hAnsi="Tahoma" w:cs="Tahoma"/>
          <w:sz w:val="22"/>
          <w:szCs w:val="22"/>
        </w:rPr>
        <w:t xml:space="preserve">, previstos na </w:t>
      </w:r>
      <w:r w:rsidRPr="00110BC8">
        <w:rPr>
          <w:rStyle w:val="Forte"/>
          <w:rFonts w:ascii="Tahoma" w:hAnsi="Tahoma" w:cs="Tahoma"/>
          <w:sz w:val="22"/>
          <w:szCs w:val="22"/>
        </w:rPr>
        <w:t>Lei Complementar nº 101/2000 (Lei de Responsabilidade Fiscal)</w:t>
      </w:r>
      <w:r w:rsidRPr="00110BC8">
        <w:rPr>
          <w:rFonts w:ascii="Tahoma" w:hAnsi="Tahoma" w:cs="Tahoma"/>
          <w:sz w:val="22"/>
          <w:szCs w:val="22"/>
        </w:rPr>
        <w:t xml:space="preserve">, que impõe aos entes federativos o dever de manter receitas compatíveis com suas despesas e de promover arrecadação eficiente e transparente. Ademais, o </w:t>
      </w:r>
      <w:r w:rsidRPr="00110BC8">
        <w:rPr>
          <w:rStyle w:val="Forte"/>
          <w:rFonts w:ascii="Tahoma" w:hAnsi="Tahoma" w:cs="Tahoma"/>
          <w:sz w:val="22"/>
          <w:szCs w:val="22"/>
        </w:rPr>
        <w:t>Estatuto da Cidade (Lei nº 10.257/2001)</w:t>
      </w:r>
      <w:r w:rsidRPr="00110BC8">
        <w:rPr>
          <w:rFonts w:ascii="Tahoma" w:hAnsi="Tahoma" w:cs="Tahoma"/>
          <w:sz w:val="22"/>
          <w:szCs w:val="22"/>
        </w:rPr>
        <w:t xml:space="preserve">, em seus artigos 2º, 4º e 42-B, reforça a necessidade de integração entre o planejamento urbano, o cadastro territorial e os instrumentos tributários, assegurando o cumprimento da </w:t>
      </w:r>
      <w:r w:rsidRPr="00110BC8">
        <w:rPr>
          <w:rStyle w:val="Forte"/>
          <w:rFonts w:ascii="Tahoma" w:hAnsi="Tahoma" w:cs="Tahoma"/>
          <w:sz w:val="22"/>
          <w:szCs w:val="22"/>
        </w:rPr>
        <w:t>função social da propriedade urbana</w:t>
      </w:r>
      <w:r w:rsidRPr="00110BC8">
        <w:rPr>
          <w:rFonts w:ascii="Tahoma" w:hAnsi="Tahoma" w:cs="Tahoma"/>
          <w:sz w:val="22"/>
          <w:szCs w:val="22"/>
        </w:rPr>
        <w:t xml:space="preserve"> e o financiamento adequado das políticas públicas locais.</w:t>
      </w:r>
    </w:p>
    <w:p w:rsidR="005971EF" w:rsidRPr="00110BC8" w:rsidRDefault="007F5A21" w:rsidP="00110BC8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lastRenderedPageBreak/>
        <w:t xml:space="preserve">Assim, a elaboração de uma nova Planta Genérica de Valores representa não apenas um dever de gestão tributária responsável — em consonância com a </w:t>
      </w:r>
      <w:r w:rsidRPr="00110BC8">
        <w:rPr>
          <w:rStyle w:val="Forte"/>
          <w:rFonts w:ascii="Tahoma" w:hAnsi="Tahoma" w:cs="Tahoma"/>
          <w:sz w:val="22"/>
          <w:szCs w:val="22"/>
        </w:rPr>
        <w:t>Lei de Responsabilidade Fiscal (LC nº 101/2000)</w:t>
      </w:r>
      <w:r w:rsidRPr="00110BC8">
        <w:rPr>
          <w:rFonts w:ascii="Tahoma" w:hAnsi="Tahoma" w:cs="Tahoma"/>
          <w:sz w:val="22"/>
          <w:szCs w:val="22"/>
        </w:rPr>
        <w:t xml:space="preserve"> e o </w:t>
      </w:r>
      <w:r w:rsidRPr="00110BC8">
        <w:rPr>
          <w:rStyle w:val="Forte"/>
          <w:rFonts w:ascii="Tahoma" w:hAnsi="Tahoma" w:cs="Tahoma"/>
          <w:sz w:val="22"/>
          <w:szCs w:val="22"/>
        </w:rPr>
        <w:t>Estatuto da Cidade (Lei nº 10.257/2001)</w:t>
      </w:r>
      <w:r w:rsidRPr="00110BC8">
        <w:rPr>
          <w:rFonts w:ascii="Tahoma" w:hAnsi="Tahoma" w:cs="Tahoma"/>
          <w:sz w:val="22"/>
          <w:szCs w:val="22"/>
        </w:rPr>
        <w:t xml:space="preserve"> —, mas também um instrumento essencial de </w:t>
      </w:r>
      <w:r w:rsidRPr="00110BC8">
        <w:rPr>
          <w:rStyle w:val="Forte"/>
          <w:rFonts w:ascii="Tahoma" w:hAnsi="Tahoma" w:cs="Tahoma"/>
          <w:sz w:val="22"/>
          <w:szCs w:val="22"/>
        </w:rPr>
        <w:t>justiça social e equilíbrio fiscal</w:t>
      </w:r>
      <w:r w:rsidRPr="00110BC8">
        <w:rPr>
          <w:rFonts w:ascii="Tahoma" w:hAnsi="Tahoma" w:cs="Tahoma"/>
          <w:sz w:val="22"/>
          <w:szCs w:val="22"/>
        </w:rPr>
        <w:t xml:space="preserve">, garantindo que o Município de Niterói exerça plenamente sua autonomia financeira e cumpra a </w:t>
      </w:r>
      <w:r w:rsidRPr="00110BC8">
        <w:rPr>
          <w:rStyle w:val="Forte"/>
          <w:rFonts w:ascii="Tahoma" w:hAnsi="Tahoma" w:cs="Tahoma"/>
          <w:sz w:val="22"/>
          <w:szCs w:val="22"/>
        </w:rPr>
        <w:t>função social da propriedade urbana</w:t>
      </w:r>
      <w:r w:rsidRPr="00110BC8">
        <w:rPr>
          <w:rFonts w:ascii="Tahoma" w:hAnsi="Tahoma" w:cs="Tahoma"/>
          <w:sz w:val="22"/>
          <w:szCs w:val="22"/>
        </w:rPr>
        <w:t xml:space="preserve"> prevista no artigo 182 da Constituição Federal.</w:t>
      </w:r>
      <w:r w:rsidR="00651A64" w:rsidRPr="00110BC8">
        <w:rPr>
          <w:rFonts w:ascii="Tahoma" w:hAnsi="Tahoma" w:cs="Tahoma"/>
          <w:sz w:val="22"/>
          <w:szCs w:val="22"/>
        </w:rPr>
        <w:t xml:space="preserve"> A formulação t</w:t>
      </w:r>
      <w:r w:rsidR="00A946D4" w:rsidRPr="00110BC8">
        <w:rPr>
          <w:rFonts w:ascii="Tahoma" w:hAnsi="Tahoma" w:cs="Tahoma"/>
          <w:sz w:val="22"/>
          <w:szCs w:val="22"/>
        </w:rPr>
        <w:t xml:space="preserve">ambém se alinha à tendência de </w:t>
      </w:r>
      <w:r w:rsidR="00A946D4" w:rsidRPr="00110BC8">
        <w:rPr>
          <w:rStyle w:val="Forte"/>
          <w:rFonts w:ascii="Tahoma" w:hAnsi="Tahoma" w:cs="Tahoma"/>
          <w:sz w:val="22"/>
          <w:szCs w:val="22"/>
        </w:rPr>
        <w:t>governança baseada em dados geoespaciais</w:t>
      </w:r>
      <w:r w:rsidR="00A946D4" w:rsidRPr="00110BC8">
        <w:rPr>
          <w:rFonts w:ascii="Tahoma" w:hAnsi="Tahoma" w:cs="Tahoma"/>
          <w:sz w:val="22"/>
          <w:szCs w:val="22"/>
        </w:rPr>
        <w:t xml:space="preserve">, utilizando tecnologias de </w:t>
      </w:r>
      <w:r w:rsidR="00A946D4" w:rsidRPr="00110BC8">
        <w:rPr>
          <w:rStyle w:val="Forte"/>
          <w:rFonts w:ascii="Tahoma" w:hAnsi="Tahoma" w:cs="Tahoma"/>
          <w:sz w:val="22"/>
          <w:szCs w:val="22"/>
        </w:rPr>
        <w:t>georreferenciamento e cadastro multifinalitário</w:t>
      </w:r>
      <w:r w:rsidR="00A946D4" w:rsidRPr="00110BC8">
        <w:rPr>
          <w:rFonts w:ascii="Tahoma" w:hAnsi="Tahoma" w:cs="Tahoma"/>
          <w:sz w:val="22"/>
          <w:szCs w:val="22"/>
        </w:rPr>
        <w:t>, capazes de integrar informações fiscais, ambientais e urbanísticas, fortalecendo o planejamento estratégico municipal.</w:t>
      </w:r>
    </w:p>
    <w:p w:rsidR="00E872EA" w:rsidRPr="00110BC8" w:rsidRDefault="00E872EA" w:rsidP="00110BC8">
      <w:pPr>
        <w:pStyle w:val="NormalWeb"/>
        <w:spacing w:line="276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No cenário nacional, diversos municípios têm avançado na modernização de suas PGVs, reconhecendo que a defasagem de valores venais compromete tanto a </w:t>
      </w:r>
      <w:r w:rsidRPr="00110BC8">
        <w:rPr>
          <w:rStyle w:val="Forte"/>
          <w:rFonts w:ascii="Tahoma" w:hAnsi="Tahoma" w:cs="Tahoma"/>
          <w:sz w:val="22"/>
          <w:szCs w:val="22"/>
        </w:rPr>
        <w:t>arrecadação justa</w:t>
      </w:r>
      <w:r w:rsidRPr="00110BC8">
        <w:rPr>
          <w:rFonts w:ascii="Tahoma" w:hAnsi="Tahoma" w:cs="Tahoma"/>
          <w:sz w:val="22"/>
          <w:szCs w:val="22"/>
        </w:rPr>
        <w:t xml:space="preserve"> quanto o </w:t>
      </w:r>
      <w:r w:rsidRPr="00110BC8">
        <w:rPr>
          <w:rStyle w:val="Forte"/>
          <w:rFonts w:ascii="Tahoma" w:hAnsi="Tahoma" w:cs="Tahoma"/>
          <w:sz w:val="22"/>
          <w:szCs w:val="22"/>
        </w:rPr>
        <w:t>planejamento urbano sustentável</w:t>
      </w:r>
      <w:r w:rsidRPr="00110BC8">
        <w:rPr>
          <w:rFonts w:ascii="Tahoma" w:hAnsi="Tahoma" w:cs="Tahoma"/>
          <w:sz w:val="22"/>
          <w:szCs w:val="22"/>
        </w:rPr>
        <w:t xml:space="preserve">. Exemplos notórios incluem </w:t>
      </w:r>
      <w:r w:rsidRPr="00110BC8">
        <w:rPr>
          <w:rStyle w:val="Forte"/>
          <w:rFonts w:ascii="Tahoma" w:hAnsi="Tahoma" w:cs="Tahoma"/>
          <w:sz w:val="22"/>
          <w:szCs w:val="22"/>
        </w:rPr>
        <w:t>São Paulo</w:t>
      </w:r>
      <w:r w:rsidRPr="00110BC8">
        <w:rPr>
          <w:rFonts w:ascii="Tahoma" w:hAnsi="Tahoma" w:cs="Tahoma"/>
          <w:sz w:val="22"/>
          <w:szCs w:val="22"/>
        </w:rPr>
        <w:t xml:space="preserve">, que apresentou em 2025 o Projeto de Lei nº 1130/2025 revisando integralmente sua PGV; </w:t>
      </w:r>
      <w:r w:rsidRPr="00110BC8">
        <w:rPr>
          <w:rStyle w:val="Forte"/>
          <w:rFonts w:ascii="Tahoma" w:hAnsi="Tahoma" w:cs="Tahoma"/>
          <w:sz w:val="22"/>
          <w:szCs w:val="22"/>
        </w:rPr>
        <w:t>Barra Mansa (RJ)</w:t>
      </w:r>
      <w:r w:rsidRPr="00110BC8">
        <w:rPr>
          <w:rFonts w:ascii="Tahoma" w:hAnsi="Tahoma" w:cs="Tahoma"/>
          <w:sz w:val="22"/>
          <w:szCs w:val="22"/>
        </w:rPr>
        <w:t xml:space="preserve">, que contratou estudo técnico após 26 anos sem atualização; </w:t>
      </w:r>
      <w:r w:rsidRPr="00110BC8">
        <w:rPr>
          <w:rStyle w:val="Forte"/>
          <w:rFonts w:ascii="Tahoma" w:hAnsi="Tahoma" w:cs="Tahoma"/>
          <w:sz w:val="22"/>
          <w:szCs w:val="22"/>
        </w:rPr>
        <w:t>Nova Petrópolis (RS)</w:t>
      </w:r>
      <w:r w:rsidRPr="00110BC8">
        <w:rPr>
          <w:rFonts w:ascii="Tahoma" w:hAnsi="Tahoma" w:cs="Tahoma"/>
          <w:sz w:val="22"/>
          <w:szCs w:val="22"/>
        </w:rPr>
        <w:t xml:space="preserve">, que diluiu os impactos da correção do IPTU entre 2022 e 2025; </w:t>
      </w:r>
      <w:r w:rsidRPr="00110BC8">
        <w:rPr>
          <w:rStyle w:val="Forte"/>
          <w:rFonts w:ascii="Tahoma" w:hAnsi="Tahoma" w:cs="Tahoma"/>
          <w:sz w:val="22"/>
          <w:szCs w:val="22"/>
        </w:rPr>
        <w:t>Campo Largo (PR)</w:t>
      </w:r>
      <w:r w:rsidRPr="00110BC8">
        <w:rPr>
          <w:rFonts w:ascii="Tahoma" w:hAnsi="Tahoma" w:cs="Tahoma"/>
          <w:sz w:val="22"/>
          <w:szCs w:val="22"/>
        </w:rPr>
        <w:t xml:space="preserve"> e </w:t>
      </w:r>
      <w:r w:rsidRPr="00110BC8">
        <w:rPr>
          <w:rStyle w:val="Forte"/>
          <w:rFonts w:ascii="Tahoma" w:hAnsi="Tahoma" w:cs="Tahoma"/>
          <w:sz w:val="22"/>
          <w:szCs w:val="22"/>
        </w:rPr>
        <w:t>Rio Bonito (RJ)</w:t>
      </w:r>
      <w:r w:rsidRPr="00110BC8">
        <w:rPr>
          <w:rFonts w:ascii="Tahoma" w:hAnsi="Tahoma" w:cs="Tahoma"/>
          <w:sz w:val="22"/>
          <w:szCs w:val="22"/>
        </w:rPr>
        <w:t>, que promoveram revisões por recomendação de seus respectivos Tribunais de Contas. Tais precedentes demonstram a importância de manter o valor venal dos imóveis compatível com o mercado, preservando a legitimidade do sistema tributário e a confiança do contribuinte.</w:t>
      </w:r>
    </w:p>
    <w:p w:rsidR="00110BC8" w:rsidRPr="00110BC8" w:rsidRDefault="00110BC8" w:rsidP="00110BC8">
      <w:pPr>
        <w:pStyle w:val="NormalWeb"/>
        <w:spacing w:line="276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Diversos municípios de porte semelhante — como </w:t>
      </w:r>
      <w:r w:rsidRPr="00110BC8">
        <w:rPr>
          <w:rStyle w:val="Forte"/>
          <w:rFonts w:ascii="Tahoma" w:hAnsi="Tahoma" w:cs="Tahoma"/>
          <w:sz w:val="22"/>
          <w:szCs w:val="22"/>
        </w:rPr>
        <w:t>Curitiba (PR), Campinas (SP), Florianópolis (SC) e Vitória (ES)</w:t>
      </w:r>
      <w:r w:rsidRPr="00110BC8">
        <w:rPr>
          <w:rFonts w:ascii="Tahoma" w:hAnsi="Tahoma" w:cs="Tahoma"/>
          <w:sz w:val="22"/>
          <w:szCs w:val="22"/>
        </w:rPr>
        <w:t xml:space="preserve"> — concluíram, nos últimos anos, processos de </w:t>
      </w:r>
      <w:r w:rsidRPr="00110BC8">
        <w:rPr>
          <w:rStyle w:val="Forte"/>
          <w:rFonts w:ascii="Tahoma" w:hAnsi="Tahoma" w:cs="Tahoma"/>
          <w:sz w:val="22"/>
          <w:szCs w:val="22"/>
        </w:rPr>
        <w:t>revisão e modernização da PGV</w:t>
      </w:r>
      <w:r w:rsidRPr="00110BC8">
        <w:rPr>
          <w:rFonts w:ascii="Tahoma" w:hAnsi="Tahoma" w:cs="Tahoma"/>
          <w:sz w:val="22"/>
          <w:szCs w:val="22"/>
        </w:rPr>
        <w:t xml:space="preserve">, utilizando metodologias técnicas de </w:t>
      </w:r>
      <w:r w:rsidRPr="00110BC8">
        <w:rPr>
          <w:rStyle w:val="Forte"/>
          <w:rFonts w:ascii="Tahoma" w:hAnsi="Tahoma" w:cs="Tahoma"/>
          <w:sz w:val="22"/>
          <w:szCs w:val="22"/>
        </w:rPr>
        <w:t>geoprocessamento, amostragem imobiliária e modelagem estatística</w:t>
      </w:r>
      <w:r w:rsidRPr="00110BC8">
        <w:rPr>
          <w:rFonts w:ascii="Tahoma" w:hAnsi="Tahoma" w:cs="Tahoma"/>
          <w:sz w:val="22"/>
          <w:szCs w:val="22"/>
        </w:rPr>
        <w:t>, que permitiram correções graduais e transparentes na base de cálculo do IPTU, sem onerar excessivamente o contribuinte. Essas experiências demonstram que revisões planejadas e participativas são tecnicamente viáveis e juridicamente seguras.</w:t>
      </w:r>
    </w:p>
    <w:p w:rsidR="00110BC8" w:rsidRPr="00110BC8" w:rsidRDefault="00110BC8" w:rsidP="00110BC8">
      <w:pPr>
        <w:pStyle w:val="NormalWeb"/>
        <w:spacing w:line="276" w:lineRule="auto"/>
        <w:ind w:firstLine="360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Em Niterói, embora tenha sido instituído grupo de trabalho e elaborado termo de referência para atualização da PGV, </w:t>
      </w:r>
      <w:r w:rsidRPr="00110BC8">
        <w:rPr>
          <w:rStyle w:val="Forte"/>
          <w:rFonts w:ascii="Tahoma" w:hAnsi="Tahoma" w:cs="Tahoma"/>
          <w:sz w:val="22"/>
          <w:szCs w:val="22"/>
        </w:rPr>
        <w:t>nenhum projeto de lei foi encaminhado à Câmara Municipal</w:t>
      </w:r>
      <w:r w:rsidRPr="00110BC8">
        <w:rPr>
          <w:rFonts w:ascii="Tahoma" w:hAnsi="Tahoma" w:cs="Tahoma"/>
          <w:sz w:val="22"/>
          <w:szCs w:val="22"/>
        </w:rPr>
        <w:t>, conforme registrado no acórdão do TCE-RJ. Assim, o Município permanece em situação de inconformidade técnica e jurídica, perpetuando distorções que comprometem a arrecadação e a credibilidade da gestão tributária.</w:t>
      </w:r>
    </w:p>
    <w:p w:rsidR="00110BC8" w:rsidRDefault="00110BC8" w:rsidP="00110BC8">
      <w:pPr>
        <w:pStyle w:val="NormalWeb"/>
        <w:spacing w:line="276" w:lineRule="auto"/>
        <w:ind w:firstLine="360"/>
        <w:rPr>
          <w:rFonts w:ascii="Tahoma" w:hAnsi="Tahoma" w:cs="Tahoma"/>
          <w:sz w:val="22"/>
          <w:szCs w:val="22"/>
        </w:rPr>
      </w:pPr>
    </w:p>
    <w:p w:rsidR="00110BC8" w:rsidRPr="00110BC8" w:rsidRDefault="00110BC8" w:rsidP="00110BC8">
      <w:pPr>
        <w:pStyle w:val="NormalWeb"/>
        <w:spacing w:line="276" w:lineRule="auto"/>
        <w:ind w:firstLine="360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lastRenderedPageBreak/>
        <w:t xml:space="preserve">Dessa forma, a presente proposição busca </w:t>
      </w:r>
      <w:r w:rsidRPr="00110BC8">
        <w:rPr>
          <w:rStyle w:val="Forte"/>
          <w:rFonts w:ascii="Tahoma" w:hAnsi="Tahoma" w:cs="Tahoma"/>
          <w:sz w:val="22"/>
          <w:szCs w:val="22"/>
        </w:rPr>
        <w:t>autorizar e priorizar a elaboração do novo estudo técnico da Planta Genérica de Valores</w:t>
      </w:r>
      <w:r w:rsidRPr="00110BC8">
        <w:rPr>
          <w:rFonts w:ascii="Tahoma" w:hAnsi="Tahoma" w:cs="Tahoma"/>
          <w:sz w:val="22"/>
          <w:szCs w:val="22"/>
        </w:rPr>
        <w:t>, com base em metodologia georreferenciada e critérios de transparência pública, assegurando:</w:t>
      </w:r>
    </w:p>
    <w:p w:rsidR="00110BC8" w:rsidRPr="00110BC8" w:rsidRDefault="00110BC8" w:rsidP="00110BC8">
      <w:pPr>
        <w:pStyle w:val="NormalWeb"/>
        <w:numPr>
          <w:ilvl w:val="0"/>
          <w:numId w:val="6"/>
        </w:numPr>
        <w:spacing w:line="276" w:lineRule="auto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>a revisão periódica da PGV por lei específica, conforme determina o CTN;</w:t>
      </w:r>
    </w:p>
    <w:p w:rsidR="00110BC8" w:rsidRPr="00110BC8" w:rsidRDefault="00110BC8" w:rsidP="00110BC8">
      <w:pPr>
        <w:pStyle w:val="NormalWeb"/>
        <w:numPr>
          <w:ilvl w:val="0"/>
          <w:numId w:val="6"/>
        </w:numPr>
        <w:spacing w:line="276" w:lineRule="auto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>o restabelecimento da justiça fiscal e o equilíbrio da arrecadação;</w:t>
      </w:r>
    </w:p>
    <w:p w:rsidR="00110BC8" w:rsidRPr="00110BC8" w:rsidRDefault="00110BC8" w:rsidP="00110BC8">
      <w:pPr>
        <w:pStyle w:val="NormalWeb"/>
        <w:numPr>
          <w:ilvl w:val="0"/>
          <w:numId w:val="6"/>
        </w:numPr>
        <w:spacing w:line="276" w:lineRule="auto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>a modernização da gestão tributária com base em dados técnicos e atualizados;</w:t>
      </w:r>
    </w:p>
    <w:p w:rsidR="00110BC8" w:rsidRPr="00110BC8" w:rsidRDefault="00110BC8" w:rsidP="00110BC8">
      <w:pPr>
        <w:pStyle w:val="NormalWeb"/>
        <w:numPr>
          <w:ilvl w:val="0"/>
          <w:numId w:val="6"/>
        </w:numPr>
        <w:spacing w:line="276" w:lineRule="auto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>a promoção de audiências públicas e consulta aos setores produtivos e à sociedade civil antes do envio do projeto de lei à Câmara Municipal.</w:t>
      </w:r>
    </w:p>
    <w:p w:rsidR="00110BC8" w:rsidRDefault="00110BC8" w:rsidP="00110BC8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</w:rPr>
        <w:t xml:space="preserve">Essa medida está em conformidade com as recomendações do </w:t>
      </w:r>
      <w:r w:rsidRPr="00110BC8">
        <w:rPr>
          <w:rStyle w:val="Forte"/>
          <w:rFonts w:ascii="Tahoma" w:hAnsi="Tahoma" w:cs="Tahoma"/>
        </w:rPr>
        <w:t>TCE-RJ</w:t>
      </w:r>
      <w:r w:rsidRPr="00110BC8">
        <w:rPr>
          <w:rFonts w:ascii="Tahoma" w:hAnsi="Tahoma" w:cs="Tahoma"/>
        </w:rPr>
        <w:t xml:space="preserve">, com as diretrizes federais e com as boas práticas de gestão fiscal adotadas em todo o país, configurando-se como </w:t>
      </w:r>
      <w:r w:rsidRPr="00110BC8">
        <w:rPr>
          <w:rStyle w:val="Forte"/>
          <w:rFonts w:ascii="Tahoma" w:hAnsi="Tahoma" w:cs="Tahoma"/>
        </w:rPr>
        <w:t>instrumento essencial de planejamento e de eficiência administrativa</w:t>
      </w:r>
      <w:r>
        <w:t>.</w:t>
      </w:r>
    </w:p>
    <w:p w:rsidR="00450C0A" w:rsidRPr="00110BC8" w:rsidRDefault="006E2884" w:rsidP="00110BC8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Portanto, a inclusão desta ação no Plano Plurianual 2026–2029, </w:t>
      </w:r>
      <w:r w:rsidR="00450C0A" w:rsidRPr="00110BC8">
        <w:rPr>
          <w:rFonts w:ascii="Tahoma" w:hAnsi="Tahoma" w:cs="Tahoma"/>
          <w:sz w:val="22"/>
          <w:szCs w:val="22"/>
        </w:rPr>
        <w:t xml:space="preserve">representa um passo estratégico para fortalecer a gestão fiscal </w:t>
      </w:r>
      <w:r w:rsidRPr="00110BC8">
        <w:rPr>
          <w:rFonts w:ascii="Tahoma" w:hAnsi="Tahoma" w:cs="Tahoma"/>
          <w:sz w:val="22"/>
          <w:szCs w:val="22"/>
        </w:rPr>
        <w:t xml:space="preserve">e assegurar os meios técnicos, orçamentários e legais </w:t>
      </w:r>
      <w:r w:rsidR="00450C0A" w:rsidRPr="00110BC8">
        <w:rPr>
          <w:rFonts w:ascii="Tahoma" w:hAnsi="Tahoma" w:cs="Tahoma"/>
          <w:sz w:val="22"/>
          <w:szCs w:val="22"/>
        </w:rPr>
        <w:t>do Município, amplia</w:t>
      </w:r>
      <w:r w:rsidRPr="00110BC8">
        <w:rPr>
          <w:rFonts w:ascii="Tahoma" w:hAnsi="Tahoma" w:cs="Tahoma"/>
          <w:sz w:val="22"/>
          <w:szCs w:val="22"/>
        </w:rPr>
        <w:t>ndo</w:t>
      </w:r>
      <w:r w:rsidR="00450C0A" w:rsidRPr="00110BC8">
        <w:rPr>
          <w:rFonts w:ascii="Tahoma" w:hAnsi="Tahoma" w:cs="Tahoma"/>
          <w:sz w:val="22"/>
          <w:szCs w:val="22"/>
        </w:rPr>
        <w:t xml:space="preserve"> a transparência na arrecadação e alinha</w:t>
      </w:r>
      <w:r w:rsidRPr="00110BC8">
        <w:rPr>
          <w:rFonts w:ascii="Tahoma" w:hAnsi="Tahoma" w:cs="Tahoma"/>
          <w:sz w:val="22"/>
          <w:szCs w:val="22"/>
        </w:rPr>
        <w:t>ndo</w:t>
      </w:r>
      <w:r w:rsidR="00450C0A" w:rsidRPr="00110BC8">
        <w:rPr>
          <w:rFonts w:ascii="Tahoma" w:hAnsi="Tahoma" w:cs="Tahoma"/>
          <w:sz w:val="22"/>
          <w:szCs w:val="22"/>
        </w:rPr>
        <w:t xml:space="preserve"> a política tributária às diretrizes do planejamento urbano, em consonância com os princípios da </w:t>
      </w:r>
      <w:r w:rsidR="00450C0A" w:rsidRPr="00110BC8">
        <w:rPr>
          <w:rStyle w:val="Forte"/>
          <w:rFonts w:ascii="Tahoma" w:hAnsi="Tahoma" w:cs="Tahoma"/>
          <w:sz w:val="22"/>
          <w:szCs w:val="22"/>
        </w:rPr>
        <w:t>função social da propriedade</w:t>
      </w:r>
      <w:r w:rsidR="00450C0A" w:rsidRPr="00110BC8">
        <w:rPr>
          <w:rFonts w:ascii="Tahoma" w:hAnsi="Tahoma" w:cs="Tahoma"/>
          <w:sz w:val="22"/>
          <w:szCs w:val="22"/>
        </w:rPr>
        <w:t xml:space="preserve">, da </w:t>
      </w:r>
      <w:r w:rsidR="00450C0A" w:rsidRPr="00110BC8">
        <w:rPr>
          <w:rStyle w:val="Forte"/>
          <w:rFonts w:ascii="Tahoma" w:hAnsi="Tahoma" w:cs="Tahoma"/>
          <w:sz w:val="22"/>
          <w:szCs w:val="22"/>
        </w:rPr>
        <w:t>capacidade contributiva</w:t>
      </w:r>
      <w:r w:rsidR="00450C0A" w:rsidRPr="00110BC8">
        <w:rPr>
          <w:rFonts w:ascii="Tahoma" w:hAnsi="Tahoma" w:cs="Tahoma"/>
          <w:sz w:val="22"/>
          <w:szCs w:val="22"/>
        </w:rPr>
        <w:t xml:space="preserve"> e da </w:t>
      </w:r>
      <w:r w:rsidR="00450C0A" w:rsidRPr="00110BC8">
        <w:rPr>
          <w:rStyle w:val="Forte"/>
          <w:rFonts w:ascii="Tahoma" w:hAnsi="Tahoma" w:cs="Tahoma"/>
          <w:sz w:val="22"/>
          <w:szCs w:val="22"/>
        </w:rPr>
        <w:t>publicidade dos atos administrativos</w:t>
      </w:r>
      <w:r w:rsidR="00450C0A" w:rsidRPr="00110BC8">
        <w:rPr>
          <w:rFonts w:ascii="Tahoma" w:hAnsi="Tahoma" w:cs="Tahoma"/>
          <w:sz w:val="22"/>
          <w:szCs w:val="22"/>
        </w:rPr>
        <w:t>, previstos na Constituição Federal e no Estatuto da Cidade.</w:t>
      </w:r>
    </w:p>
    <w:p w:rsidR="006E2884" w:rsidRPr="00110BC8" w:rsidRDefault="004844A4" w:rsidP="00110BC8">
      <w:pPr>
        <w:pStyle w:val="NormalWeb"/>
        <w:spacing w:line="276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    </w:t>
      </w:r>
      <w:r w:rsidR="006E2884" w:rsidRPr="00110BC8">
        <w:rPr>
          <w:rFonts w:ascii="Tahoma" w:hAnsi="Tahoma" w:cs="Tahoma"/>
          <w:sz w:val="22"/>
          <w:szCs w:val="22"/>
        </w:rPr>
        <w:t xml:space="preserve">  A </w:t>
      </w:r>
      <w:r w:rsidR="00CF76F3" w:rsidRPr="00110BC8">
        <w:rPr>
          <w:rFonts w:ascii="Tahoma" w:hAnsi="Tahoma" w:cs="Tahoma"/>
          <w:sz w:val="22"/>
          <w:szCs w:val="22"/>
        </w:rPr>
        <w:t xml:space="preserve">nova </w:t>
      </w:r>
      <w:r w:rsidR="00CF76F3" w:rsidRPr="00110BC8">
        <w:rPr>
          <w:rStyle w:val="Forte"/>
          <w:rFonts w:ascii="Tahoma" w:hAnsi="Tahoma" w:cs="Tahoma"/>
          <w:sz w:val="22"/>
          <w:szCs w:val="22"/>
        </w:rPr>
        <w:t>Planta Genérica de Valores</w:t>
      </w:r>
      <w:r w:rsidR="0074007A" w:rsidRPr="00110BC8">
        <w:rPr>
          <w:rStyle w:val="Forte"/>
          <w:rFonts w:ascii="Tahoma" w:hAnsi="Tahoma" w:cs="Tahoma"/>
          <w:sz w:val="22"/>
          <w:szCs w:val="22"/>
        </w:rPr>
        <w:t xml:space="preserve"> </w:t>
      </w:r>
      <w:r w:rsidR="006E2884" w:rsidRPr="00110BC8">
        <w:rPr>
          <w:rFonts w:ascii="Tahoma" w:hAnsi="Tahoma" w:cs="Tahoma"/>
          <w:sz w:val="22"/>
          <w:szCs w:val="22"/>
        </w:rPr>
        <w:t xml:space="preserve">será responsável em </w:t>
      </w:r>
      <w:r w:rsidR="00CF76F3" w:rsidRPr="00110BC8">
        <w:rPr>
          <w:rFonts w:ascii="Tahoma" w:hAnsi="Tahoma" w:cs="Tahoma"/>
          <w:sz w:val="22"/>
          <w:szCs w:val="22"/>
        </w:rPr>
        <w:t>promove</w:t>
      </w:r>
      <w:r w:rsidR="006E2884" w:rsidRPr="00110BC8">
        <w:rPr>
          <w:rFonts w:ascii="Tahoma" w:hAnsi="Tahoma" w:cs="Tahoma"/>
          <w:sz w:val="22"/>
          <w:szCs w:val="22"/>
        </w:rPr>
        <w:t>r a</w:t>
      </w:r>
      <w:r w:rsidR="00CF76F3" w:rsidRPr="00110BC8">
        <w:rPr>
          <w:rFonts w:ascii="Tahoma" w:hAnsi="Tahoma" w:cs="Tahoma"/>
          <w:sz w:val="22"/>
          <w:szCs w:val="22"/>
        </w:rPr>
        <w:t xml:space="preserve"> </w:t>
      </w:r>
      <w:r w:rsidR="00CF76F3" w:rsidRPr="00110BC8">
        <w:rPr>
          <w:rStyle w:val="Forte"/>
          <w:rFonts w:ascii="Tahoma" w:hAnsi="Tahoma" w:cs="Tahoma"/>
          <w:sz w:val="22"/>
          <w:szCs w:val="22"/>
        </w:rPr>
        <w:t>justiça tributária, eficiência fiscal e transparência administrativa</w:t>
      </w:r>
      <w:r w:rsidR="00CF76F3" w:rsidRPr="00110BC8">
        <w:rPr>
          <w:rFonts w:ascii="Tahoma" w:hAnsi="Tahoma" w:cs="Tahoma"/>
          <w:sz w:val="22"/>
          <w:szCs w:val="22"/>
        </w:rPr>
        <w:t>, em consonância com os princípios constitucionais da legalidade, moralidade, isonomia e capacidade contributiva.</w:t>
      </w:r>
      <w:r w:rsidR="006E2884" w:rsidRPr="00110BC8">
        <w:rPr>
          <w:rFonts w:ascii="Tahoma" w:hAnsi="Tahoma" w:cs="Tahoma"/>
          <w:sz w:val="22"/>
          <w:szCs w:val="22"/>
        </w:rPr>
        <w:t xml:space="preserve"> </w:t>
      </w:r>
    </w:p>
    <w:p w:rsidR="00450C0A" w:rsidRPr="00110BC8" w:rsidRDefault="006E2884" w:rsidP="00110BC8">
      <w:pPr>
        <w:pStyle w:val="NormalWeb"/>
        <w:spacing w:line="276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110BC8">
        <w:rPr>
          <w:rFonts w:ascii="Tahoma" w:hAnsi="Tahoma" w:cs="Tahoma"/>
          <w:sz w:val="22"/>
          <w:szCs w:val="22"/>
        </w:rPr>
        <w:t xml:space="preserve"> </w:t>
      </w:r>
      <w:r w:rsidR="00450C0A" w:rsidRPr="00110BC8">
        <w:rPr>
          <w:rFonts w:ascii="Tahoma" w:hAnsi="Tahoma" w:cs="Tahoma"/>
          <w:sz w:val="22"/>
          <w:szCs w:val="22"/>
        </w:rPr>
        <w:t xml:space="preserve">Por essas razões, </w:t>
      </w:r>
      <w:r w:rsidRPr="00110BC8">
        <w:rPr>
          <w:rStyle w:val="Forte"/>
          <w:rFonts w:ascii="Tahoma" w:hAnsi="Tahoma" w:cs="Tahoma"/>
          <w:sz w:val="22"/>
          <w:szCs w:val="22"/>
        </w:rPr>
        <w:t>conto com o apoio dos Nobres Pares</w:t>
      </w:r>
      <w:r w:rsidRPr="00110BC8">
        <w:rPr>
          <w:rFonts w:ascii="Tahoma" w:hAnsi="Tahoma" w:cs="Tahoma"/>
          <w:sz w:val="22"/>
          <w:szCs w:val="22"/>
        </w:rPr>
        <w:t xml:space="preserve"> para a aprovação desta emenda</w:t>
      </w:r>
      <w:r w:rsidR="00450C0A" w:rsidRPr="00110BC8">
        <w:rPr>
          <w:rFonts w:ascii="Tahoma" w:hAnsi="Tahoma" w:cs="Tahoma"/>
          <w:sz w:val="22"/>
          <w:szCs w:val="22"/>
        </w:rPr>
        <w:t>, garantindo que Niterói avance na modernização de sua gestão tributária e urbana, com instrumentos atualizados, transparentes e socialmente justos.</w:t>
      </w:r>
    </w:p>
    <w:p w:rsidR="00FE2DA2" w:rsidRDefault="00FE2DA2" w:rsidP="00110BC8">
      <w:pPr>
        <w:pStyle w:val="NormalWeb"/>
        <w:spacing w:line="276" w:lineRule="auto"/>
        <w:ind w:firstLine="567"/>
        <w:jc w:val="both"/>
        <w:rPr>
          <w:rFonts w:ascii="Tahoma" w:hAnsi="Tahoma" w:cs="Tahoma"/>
          <w:sz w:val="22"/>
          <w:szCs w:val="22"/>
        </w:rPr>
      </w:pPr>
    </w:p>
    <w:p w:rsidR="00110BC8" w:rsidRPr="00CF6479" w:rsidRDefault="00110BC8" w:rsidP="00110BC8">
      <w:pPr>
        <w:pStyle w:val="Ttulo3"/>
        <w:rPr>
          <w:rFonts w:ascii="Tahoma" w:hAnsi="Tahoma" w:cs="Tahoma"/>
          <w:color w:val="auto"/>
          <w:sz w:val="18"/>
          <w:szCs w:val="18"/>
          <w:u w:val="single"/>
        </w:rPr>
      </w:pPr>
      <w:r w:rsidRPr="00CF6479">
        <w:rPr>
          <w:rStyle w:val="Forte"/>
          <w:rFonts w:ascii="Tahoma" w:hAnsi="Tahoma" w:cs="Tahoma"/>
          <w:b/>
          <w:bCs/>
          <w:color w:val="auto"/>
          <w:sz w:val="18"/>
          <w:szCs w:val="18"/>
          <w:u w:val="single"/>
        </w:rPr>
        <w:lastRenderedPageBreak/>
        <w:t>Quadro técnico-resumo (estimativas de referência)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36"/>
        <w:gridCol w:w="6685"/>
        <w:gridCol w:w="1673"/>
        <w:gridCol w:w="2854"/>
      </w:tblGrid>
      <w:tr w:rsidR="00110BC8" w:rsidRPr="00CF6479" w:rsidTr="00110BC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F6479">
              <w:rPr>
                <w:rFonts w:ascii="Tahoma" w:hAnsi="Tahoma" w:cs="Tahoma"/>
                <w:b/>
                <w:bCs/>
                <w:sz w:val="18"/>
                <w:szCs w:val="18"/>
              </w:rPr>
              <w:t>Rubrica / Atividade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F6479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F6479">
              <w:rPr>
                <w:rFonts w:ascii="Tahoma" w:hAnsi="Tahoma" w:cs="Tahoma"/>
                <w:b/>
                <w:bCs/>
                <w:sz w:val="18"/>
                <w:szCs w:val="18"/>
              </w:rPr>
              <w:t>Custo estimado (R$)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F6479">
              <w:rPr>
                <w:rFonts w:ascii="Tahoma" w:hAnsi="Tahoma" w:cs="Tahoma"/>
                <w:b/>
                <w:bCs/>
                <w:sz w:val="18"/>
                <w:szCs w:val="18"/>
              </w:rPr>
              <w:t>Fonte de referência</w:t>
            </w:r>
          </w:p>
        </w:tc>
      </w:tr>
      <w:tr w:rsidR="00110BC8" w:rsidRPr="00CF6479" w:rsidTr="00110B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Style w:val="Forte"/>
                <w:rFonts w:ascii="Tahoma" w:hAnsi="Tahoma" w:cs="Tahoma"/>
                <w:sz w:val="18"/>
                <w:szCs w:val="18"/>
              </w:rPr>
              <w:t>Serviços técnicos especializados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Fonts w:ascii="Tahoma" w:hAnsi="Tahoma" w:cs="Tahoma"/>
                <w:sz w:val="18"/>
                <w:szCs w:val="18"/>
              </w:rPr>
              <w:t>Contratação de consultoria ou instituição de pesquisa para levantamento imobiliário, amostragem e modelagem estatística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Fonts w:ascii="Tahoma" w:hAnsi="Tahoma" w:cs="Tahoma"/>
                <w:sz w:val="18"/>
                <w:szCs w:val="18"/>
              </w:rPr>
              <w:t>1.200.000,00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Fonts w:ascii="Tahoma" w:hAnsi="Tahoma" w:cs="Tahoma"/>
                <w:sz w:val="18"/>
                <w:szCs w:val="18"/>
              </w:rPr>
              <w:t>Média de licitações em Campinas e Florianópolis</w:t>
            </w:r>
          </w:p>
        </w:tc>
      </w:tr>
      <w:tr w:rsidR="00110BC8" w:rsidRPr="00CF6479" w:rsidTr="00110B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Style w:val="Forte"/>
                <w:rFonts w:ascii="Tahoma" w:hAnsi="Tahoma" w:cs="Tahoma"/>
                <w:sz w:val="18"/>
                <w:szCs w:val="18"/>
              </w:rPr>
              <w:t>Levantamento georreferenciado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Fonts w:ascii="Tahoma" w:hAnsi="Tahoma" w:cs="Tahoma"/>
                <w:sz w:val="18"/>
                <w:szCs w:val="18"/>
              </w:rPr>
              <w:t>Mapeamento urbano e atualização cadastral com geoprocessamento (imóveis, lotes e edificações)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Fonts w:ascii="Tahoma" w:hAnsi="Tahoma" w:cs="Tahoma"/>
                <w:sz w:val="18"/>
                <w:szCs w:val="18"/>
              </w:rPr>
              <w:t>800.000,00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Fonts w:ascii="Tahoma" w:hAnsi="Tahoma" w:cs="Tahoma"/>
                <w:sz w:val="18"/>
                <w:szCs w:val="18"/>
              </w:rPr>
              <w:t>Estudos PGV 2023 – Curitiba/PR</w:t>
            </w:r>
          </w:p>
        </w:tc>
      </w:tr>
      <w:tr w:rsidR="00110BC8" w:rsidRPr="00CF6479" w:rsidTr="00110B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Style w:val="Forte"/>
                <w:rFonts w:ascii="Tahoma" w:hAnsi="Tahoma" w:cs="Tahoma"/>
                <w:sz w:val="18"/>
                <w:szCs w:val="18"/>
              </w:rPr>
              <w:t>Audiências e consulta pública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Fonts w:ascii="Tahoma" w:hAnsi="Tahoma" w:cs="Tahoma"/>
                <w:sz w:val="18"/>
                <w:szCs w:val="18"/>
              </w:rPr>
              <w:t>Comunicação social, publicações e participação popular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Fonts w:ascii="Tahoma" w:hAnsi="Tahoma" w:cs="Tahoma"/>
                <w:sz w:val="18"/>
                <w:szCs w:val="18"/>
              </w:rPr>
              <w:t>150.000,00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Fonts w:ascii="Tahoma" w:hAnsi="Tahoma" w:cs="Tahoma"/>
                <w:sz w:val="18"/>
                <w:szCs w:val="18"/>
              </w:rPr>
              <w:t>Dados comparativos São José dos Campos/SP</w:t>
            </w:r>
          </w:p>
        </w:tc>
      </w:tr>
      <w:tr w:rsidR="00110BC8" w:rsidRPr="00CF6479" w:rsidTr="00110B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Style w:val="Forte"/>
                <w:rFonts w:ascii="Tahoma" w:hAnsi="Tahoma" w:cs="Tahoma"/>
                <w:sz w:val="18"/>
                <w:szCs w:val="18"/>
              </w:rPr>
              <w:t>Sistema de gestão tributária integrada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Fonts w:ascii="Tahoma" w:hAnsi="Tahoma" w:cs="Tahoma"/>
                <w:sz w:val="18"/>
                <w:szCs w:val="18"/>
              </w:rPr>
              <w:t>Integração dos novos valores ao cadastro imobiliário municipal (software e treinamento)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Fonts w:ascii="Tahoma" w:hAnsi="Tahoma" w:cs="Tahoma"/>
                <w:sz w:val="18"/>
                <w:szCs w:val="18"/>
              </w:rPr>
              <w:t>350.000,00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Fonts w:ascii="Tahoma" w:hAnsi="Tahoma" w:cs="Tahoma"/>
                <w:sz w:val="18"/>
                <w:szCs w:val="18"/>
              </w:rPr>
              <w:t>Benchmark: Vitória/ES (2022)</w:t>
            </w:r>
          </w:p>
        </w:tc>
      </w:tr>
      <w:tr w:rsidR="00110BC8" w:rsidRPr="00CF6479" w:rsidTr="00110B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Style w:val="Forte"/>
                <w:rFonts w:ascii="Tahoma" w:hAnsi="Tahoma" w:cs="Tahoma"/>
                <w:sz w:val="18"/>
                <w:szCs w:val="18"/>
              </w:rPr>
              <w:t>Total estimado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Fonts w:ascii="Tahoma" w:hAnsi="Tahoma" w:cs="Tahoma"/>
                <w:sz w:val="18"/>
                <w:szCs w:val="18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Style w:val="Forte"/>
                <w:rFonts w:ascii="Tahoma" w:hAnsi="Tahoma" w:cs="Tahoma"/>
                <w:sz w:val="18"/>
                <w:szCs w:val="18"/>
              </w:rPr>
              <w:t>2.500.000,00</w:t>
            </w:r>
          </w:p>
        </w:tc>
        <w:tc>
          <w:tcPr>
            <w:tcW w:w="0" w:type="auto"/>
            <w:vAlign w:val="center"/>
            <w:hideMark/>
          </w:tcPr>
          <w:p w:rsidR="00110BC8" w:rsidRPr="00CF6479" w:rsidRDefault="00110BC8">
            <w:pPr>
              <w:rPr>
                <w:rFonts w:ascii="Tahoma" w:hAnsi="Tahoma" w:cs="Tahoma"/>
                <w:sz w:val="18"/>
                <w:szCs w:val="18"/>
              </w:rPr>
            </w:pPr>
            <w:r w:rsidRPr="00CF6479">
              <w:rPr>
                <w:rFonts w:ascii="Tahoma" w:hAnsi="Tahoma" w:cs="Tahoma"/>
                <w:sz w:val="18"/>
                <w:szCs w:val="18"/>
              </w:rPr>
              <w:t>—</w:t>
            </w:r>
          </w:p>
        </w:tc>
      </w:tr>
    </w:tbl>
    <w:p w:rsidR="00110BC8" w:rsidRPr="00CF6479" w:rsidRDefault="00110BC8" w:rsidP="00110BC8">
      <w:pPr>
        <w:rPr>
          <w:rFonts w:ascii="Tahoma" w:hAnsi="Tahoma" w:cs="Tahoma"/>
          <w:sz w:val="18"/>
          <w:szCs w:val="18"/>
        </w:rPr>
      </w:pPr>
      <w:r w:rsidRPr="00CF6479">
        <w:rPr>
          <w:rFonts w:ascii="Tahoma" w:hAnsi="Tahoma" w:cs="Tahoma"/>
          <w:sz w:val="18"/>
          <w:szCs w:val="18"/>
        </w:rPr>
        <w:pict>
          <v:rect id="_x0000_i1025" style="width:0;height:1.5pt" o:hralign="center" o:hrstd="t" o:hr="t" fillcolor="#a0a0a0" stroked="f"/>
        </w:pict>
      </w:r>
    </w:p>
    <w:p w:rsidR="00110BC8" w:rsidRPr="00CF6479" w:rsidRDefault="00110BC8" w:rsidP="00110BC8">
      <w:pPr>
        <w:pStyle w:val="Ttulo3"/>
        <w:rPr>
          <w:rFonts w:ascii="Tahoma" w:hAnsi="Tahoma" w:cs="Tahoma"/>
          <w:color w:val="auto"/>
          <w:sz w:val="18"/>
          <w:szCs w:val="18"/>
          <w:u w:val="single"/>
        </w:rPr>
      </w:pPr>
      <w:r w:rsidRPr="00CF6479">
        <w:rPr>
          <w:rStyle w:val="Forte"/>
          <w:rFonts w:ascii="Tahoma" w:hAnsi="Tahoma" w:cs="Tahoma"/>
          <w:b/>
          <w:bCs/>
          <w:color w:val="auto"/>
          <w:sz w:val="18"/>
          <w:szCs w:val="18"/>
          <w:u w:val="single"/>
        </w:rPr>
        <w:t>Prazo de execução sugerido</w:t>
      </w:r>
      <w:r w:rsidR="00CF6479">
        <w:rPr>
          <w:rStyle w:val="Forte"/>
          <w:rFonts w:ascii="Tahoma" w:hAnsi="Tahoma" w:cs="Tahoma"/>
          <w:b/>
          <w:bCs/>
          <w:color w:val="auto"/>
          <w:sz w:val="18"/>
          <w:szCs w:val="18"/>
          <w:u w:val="single"/>
        </w:rPr>
        <w:t>:</w:t>
      </w:r>
    </w:p>
    <w:p w:rsidR="00110BC8" w:rsidRPr="00CF6479" w:rsidRDefault="00110BC8" w:rsidP="00110BC8">
      <w:pPr>
        <w:pStyle w:val="NormalWeb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CF6479">
        <w:rPr>
          <w:rStyle w:val="Forte"/>
          <w:rFonts w:ascii="Tahoma" w:hAnsi="Tahoma" w:cs="Tahoma"/>
          <w:sz w:val="18"/>
          <w:szCs w:val="18"/>
        </w:rPr>
        <w:t>Elaboração do estudo técnico:</w:t>
      </w:r>
      <w:r w:rsidRPr="00CF6479">
        <w:rPr>
          <w:rFonts w:ascii="Tahoma" w:hAnsi="Tahoma" w:cs="Tahoma"/>
          <w:sz w:val="18"/>
          <w:szCs w:val="18"/>
        </w:rPr>
        <w:t xml:space="preserve"> </w:t>
      </w:r>
      <w:r w:rsidR="00CF6479" w:rsidRPr="00CF6479">
        <w:rPr>
          <w:rFonts w:ascii="Tahoma" w:hAnsi="Tahoma" w:cs="Tahoma"/>
          <w:sz w:val="18"/>
          <w:szCs w:val="18"/>
        </w:rPr>
        <w:t xml:space="preserve">                 </w:t>
      </w:r>
      <w:r w:rsidRPr="00CF6479">
        <w:rPr>
          <w:rFonts w:ascii="Tahoma" w:hAnsi="Tahoma" w:cs="Tahoma"/>
          <w:sz w:val="18"/>
          <w:szCs w:val="18"/>
        </w:rPr>
        <w:t>6 a 9 meses</w:t>
      </w:r>
    </w:p>
    <w:p w:rsidR="00110BC8" w:rsidRPr="00CF6479" w:rsidRDefault="00110BC8" w:rsidP="00110BC8">
      <w:pPr>
        <w:pStyle w:val="NormalWeb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CF6479">
        <w:rPr>
          <w:rStyle w:val="Forte"/>
          <w:rFonts w:ascii="Tahoma" w:hAnsi="Tahoma" w:cs="Tahoma"/>
          <w:sz w:val="18"/>
          <w:szCs w:val="18"/>
        </w:rPr>
        <w:t>Consulta e audiências públicas:</w:t>
      </w:r>
      <w:r w:rsidRPr="00CF6479">
        <w:rPr>
          <w:rFonts w:ascii="Tahoma" w:hAnsi="Tahoma" w:cs="Tahoma"/>
          <w:sz w:val="18"/>
          <w:szCs w:val="18"/>
        </w:rPr>
        <w:t xml:space="preserve"> </w:t>
      </w:r>
      <w:r w:rsidR="00CF6479" w:rsidRPr="00CF6479">
        <w:rPr>
          <w:rFonts w:ascii="Tahoma" w:hAnsi="Tahoma" w:cs="Tahoma"/>
          <w:sz w:val="18"/>
          <w:szCs w:val="18"/>
        </w:rPr>
        <w:t xml:space="preserve">               </w:t>
      </w:r>
      <w:r w:rsidRPr="00CF6479">
        <w:rPr>
          <w:rFonts w:ascii="Tahoma" w:hAnsi="Tahoma" w:cs="Tahoma"/>
          <w:sz w:val="18"/>
          <w:szCs w:val="18"/>
        </w:rPr>
        <w:t>3</w:t>
      </w:r>
      <w:r w:rsidR="00CF6479" w:rsidRPr="00CF6479">
        <w:rPr>
          <w:rFonts w:ascii="Tahoma" w:hAnsi="Tahoma" w:cs="Tahoma"/>
          <w:sz w:val="18"/>
          <w:szCs w:val="18"/>
        </w:rPr>
        <w:t xml:space="preserve"> </w:t>
      </w:r>
      <w:r w:rsidRPr="00CF6479">
        <w:rPr>
          <w:rFonts w:ascii="Tahoma" w:hAnsi="Tahoma" w:cs="Tahoma"/>
          <w:sz w:val="18"/>
          <w:szCs w:val="18"/>
        </w:rPr>
        <w:t>meses</w:t>
      </w:r>
    </w:p>
    <w:p w:rsidR="00110BC8" w:rsidRPr="00CF6479" w:rsidRDefault="00110BC8" w:rsidP="00110BC8">
      <w:pPr>
        <w:pStyle w:val="NormalWeb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CF6479">
        <w:rPr>
          <w:rStyle w:val="Forte"/>
          <w:rFonts w:ascii="Tahoma" w:hAnsi="Tahoma" w:cs="Tahoma"/>
          <w:sz w:val="18"/>
          <w:szCs w:val="18"/>
        </w:rPr>
        <w:t>Envio e aprovação do projeto de lei:</w:t>
      </w:r>
      <w:r w:rsidRPr="00CF6479">
        <w:rPr>
          <w:rFonts w:ascii="Tahoma" w:hAnsi="Tahoma" w:cs="Tahoma"/>
          <w:sz w:val="18"/>
          <w:szCs w:val="18"/>
        </w:rPr>
        <w:t xml:space="preserve"> até 12 meses</w:t>
      </w:r>
    </w:p>
    <w:p w:rsidR="00110BC8" w:rsidRPr="00CF6479" w:rsidRDefault="00110BC8" w:rsidP="00110BC8">
      <w:pPr>
        <w:pStyle w:val="NormalWeb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CF6479">
        <w:rPr>
          <w:rStyle w:val="Forte"/>
          <w:rFonts w:ascii="Tahoma" w:hAnsi="Tahoma" w:cs="Tahoma"/>
          <w:sz w:val="18"/>
          <w:szCs w:val="18"/>
        </w:rPr>
        <w:t>Aplicação dos novos valores:</w:t>
      </w:r>
      <w:r w:rsidRPr="00CF6479">
        <w:rPr>
          <w:rFonts w:ascii="Tahoma" w:hAnsi="Tahoma" w:cs="Tahoma"/>
          <w:sz w:val="18"/>
          <w:szCs w:val="18"/>
        </w:rPr>
        <w:t xml:space="preserve"> exercício fiscal subsequente</w:t>
      </w:r>
    </w:p>
    <w:p w:rsidR="003521A9" w:rsidRPr="00110BC8" w:rsidRDefault="7DEE9414" w:rsidP="00110BC8">
      <w:pPr>
        <w:widowControl w:val="0"/>
        <w:spacing w:after="0" w:line="276" w:lineRule="auto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110BC8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904B9E" w:rsidRPr="00110BC8">
        <w:rPr>
          <w:rFonts w:ascii="Tahoma" w:eastAsia="Times New Roman" w:hAnsi="Tahoma" w:cs="Tahoma"/>
          <w:color w:val="000000" w:themeColor="text1"/>
          <w:sz w:val="22"/>
          <w:szCs w:val="22"/>
        </w:rPr>
        <w:t>1</w:t>
      </w:r>
      <w:r w:rsidR="00CF6479">
        <w:rPr>
          <w:rFonts w:ascii="Tahoma" w:eastAsia="Times New Roman" w:hAnsi="Tahoma" w:cs="Tahoma"/>
          <w:color w:val="000000" w:themeColor="text1"/>
          <w:sz w:val="22"/>
          <w:szCs w:val="22"/>
        </w:rPr>
        <w:t>6</w:t>
      </w:r>
      <w:r w:rsidRPr="00110BC8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904B9E" w:rsidRPr="00110BC8">
        <w:rPr>
          <w:rFonts w:ascii="Tahoma" w:eastAsia="Times New Roman" w:hAnsi="Tahoma" w:cs="Tahoma"/>
          <w:color w:val="000000" w:themeColor="text1"/>
          <w:sz w:val="22"/>
          <w:szCs w:val="22"/>
        </w:rPr>
        <w:t>outu</w:t>
      </w:r>
      <w:r w:rsidR="00097064" w:rsidRPr="00110BC8">
        <w:rPr>
          <w:rFonts w:ascii="Tahoma" w:eastAsia="Times New Roman" w:hAnsi="Tahoma" w:cs="Tahoma"/>
          <w:color w:val="000000" w:themeColor="text1"/>
          <w:sz w:val="22"/>
          <w:szCs w:val="22"/>
        </w:rPr>
        <w:t>bro</w:t>
      </w:r>
      <w:r w:rsidRPr="00110BC8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110BC8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110BC8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FE2DA2" w:rsidRPr="00110BC8" w:rsidRDefault="00FE2DA2" w:rsidP="00110BC8">
      <w:pPr>
        <w:pStyle w:val="normal0"/>
        <w:spacing w:after="0" w:line="276" w:lineRule="auto"/>
        <w:jc w:val="center"/>
        <w:rPr>
          <w:rFonts w:ascii="Tahoma" w:eastAsia="Times New Roman" w:hAnsi="Tahoma" w:cs="Tahoma"/>
          <w:b/>
        </w:rPr>
      </w:pPr>
    </w:p>
    <w:p w:rsidR="00FE2DA2" w:rsidRPr="00110BC8" w:rsidRDefault="00FE2DA2" w:rsidP="00110BC8">
      <w:pPr>
        <w:pStyle w:val="normal0"/>
        <w:spacing w:after="0" w:line="276" w:lineRule="auto"/>
        <w:jc w:val="center"/>
        <w:rPr>
          <w:rFonts w:ascii="Tahoma" w:eastAsia="Times New Roman" w:hAnsi="Tahoma" w:cs="Tahoma"/>
          <w:b/>
        </w:rPr>
      </w:pPr>
    </w:p>
    <w:p w:rsidR="00097064" w:rsidRPr="00110BC8" w:rsidRDefault="00097064" w:rsidP="00110BC8">
      <w:pPr>
        <w:pStyle w:val="normal0"/>
        <w:spacing w:after="0" w:line="276" w:lineRule="auto"/>
        <w:jc w:val="center"/>
        <w:rPr>
          <w:rFonts w:ascii="Tahoma" w:eastAsia="Times New Roman" w:hAnsi="Tahoma" w:cs="Tahoma"/>
          <w:b/>
        </w:rPr>
      </w:pPr>
      <w:r w:rsidRPr="00110BC8">
        <w:rPr>
          <w:rFonts w:ascii="Tahoma" w:eastAsia="Times New Roman" w:hAnsi="Tahoma" w:cs="Tahoma"/>
          <w:b/>
        </w:rPr>
        <w:t>DANIEL MARQUES</w:t>
      </w:r>
    </w:p>
    <w:p w:rsidR="144864E4" w:rsidRPr="00110BC8" w:rsidRDefault="00097064" w:rsidP="00110BC8">
      <w:pPr>
        <w:pStyle w:val="normal0"/>
        <w:spacing w:after="0" w:line="276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110BC8">
        <w:rPr>
          <w:rFonts w:ascii="Tahoma" w:eastAsia="Times New Roman" w:hAnsi="Tahoma" w:cs="Tahoma"/>
          <w:b/>
        </w:rPr>
        <w:t>VEREADOR</w:t>
      </w:r>
    </w:p>
    <w:sectPr w:rsidR="144864E4" w:rsidRPr="00110BC8" w:rsidSect="0086352A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1134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6FC" w:rsidRDefault="00CC66FC">
      <w:pPr>
        <w:spacing w:after="0" w:line="240" w:lineRule="auto"/>
      </w:pPr>
      <w:r>
        <w:separator/>
      </w:r>
    </w:p>
  </w:endnote>
  <w:endnote w:type="continuationSeparator" w:id="1">
    <w:p w:rsidR="00CC66FC" w:rsidRDefault="00CC66FC">
      <w:pPr>
        <w:spacing w:after="0" w:line="240" w:lineRule="auto"/>
      </w:pPr>
      <w:r>
        <w:continuationSeparator/>
      </w:r>
    </w:p>
  </w:endnote>
  <w:endnote w:type="continuationNotice" w:id="2">
    <w:p w:rsidR="00CC66FC" w:rsidRDefault="00CC66FC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7F5A21" w:rsidTr="2EF02BE8">
      <w:trPr>
        <w:trHeight w:val="300"/>
      </w:trPr>
      <w:tc>
        <w:tcPr>
          <w:tcW w:w="4650" w:type="dxa"/>
        </w:tcPr>
        <w:p w:rsidR="007F5A21" w:rsidRDefault="007F5A21" w:rsidP="2EF02BE8">
          <w:pPr>
            <w:pStyle w:val="Cabealho"/>
            <w:ind w:left="-115"/>
          </w:pPr>
        </w:p>
      </w:tc>
      <w:tc>
        <w:tcPr>
          <w:tcW w:w="4650" w:type="dxa"/>
        </w:tcPr>
        <w:p w:rsidR="007F5A21" w:rsidRDefault="007F5A21" w:rsidP="2EF02BE8">
          <w:pPr>
            <w:pStyle w:val="Cabealho"/>
            <w:jc w:val="center"/>
          </w:pPr>
        </w:p>
      </w:tc>
      <w:tc>
        <w:tcPr>
          <w:tcW w:w="4650" w:type="dxa"/>
        </w:tcPr>
        <w:p w:rsidR="007F5A21" w:rsidRDefault="007F5A21" w:rsidP="2EF02BE8">
          <w:pPr>
            <w:pStyle w:val="Cabealho"/>
            <w:ind w:right="-115"/>
            <w:jc w:val="right"/>
          </w:pPr>
        </w:p>
      </w:tc>
    </w:tr>
  </w:tbl>
  <w:p w:rsidR="007F5A21" w:rsidRDefault="007F5A21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007F5A21" w:rsidTr="17F4C8A1">
      <w:trPr>
        <w:trHeight w:val="300"/>
      </w:trPr>
      <w:tc>
        <w:tcPr>
          <w:tcW w:w="3005" w:type="dxa"/>
        </w:tcPr>
        <w:p w:rsidR="007F5A21" w:rsidRDefault="007F5A21" w:rsidP="17F4C8A1">
          <w:pPr>
            <w:pStyle w:val="Cabealho"/>
            <w:ind w:left="-115"/>
          </w:pPr>
        </w:p>
      </w:tc>
      <w:tc>
        <w:tcPr>
          <w:tcW w:w="3005" w:type="dxa"/>
        </w:tcPr>
        <w:p w:rsidR="007F5A21" w:rsidRDefault="007F5A21" w:rsidP="17F4C8A1">
          <w:pPr>
            <w:pStyle w:val="Cabealho"/>
            <w:jc w:val="center"/>
          </w:pPr>
        </w:p>
      </w:tc>
      <w:tc>
        <w:tcPr>
          <w:tcW w:w="3005" w:type="dxa"/>
        </w:tcPr>
        <w:p w:rsidR="007F5A21" w:rsidRDefault="007F5A21" w:rsidP="17F4C8A1">
          <w:pPr>
            <w:pStyle w:val="Cabealho"/>
            <w:ind w:right="-115"/>
            <w:jc w:val="right"/>
          </w:pPr>
        </w:p>
      </w:tc>
    </w:tr>
  </w:tbl>
  <w:p w:rsidR="007F5A21" w:rsidRPr="00A63146" w:rsidRDefault="007F5A21" w:rsidP="008635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                                                                          </w:t>
    </w: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7F5A21" w:rsidRPr="00A63146" w:rsidRDefault="007F5A21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7F5A21" w:rsidRDefault="007F5A21" w:rsidP="008635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</w:t>
    </w:r>
    <w:hyperlink r:id="rId1" w:history="1">
      <w:r w:rsidRPr="00D917F0">
        <w:rPr>
          <w:rStyle w:val="Hyperlink"/>
          <w:rFonts w:ascii="Tahoma" w:eastAsia="Tahoma" w:hAnsi="Tahoma" w:cs="Tahoma"/>
          <w:b/>
          <w:i/>
          <w:sz w:val="16"/>
          <w:szCs w:val="16"/>
        </w:rPr>
        <w:t>vereadordanielmarques@gmail.com</w:t>
      </w:r>
    </w:hyperlink>
  </w:p>
  <w:p w:rsidR="007F5A21" w:rsidRDefault="007F5A21" w:rsidP="17F4C8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6FC" w:rsidRDefault="00CC66FC">
      <w:pPr>
        <w:spacing w:after="0" w:line="240" w:lineRule="auto"/>
      </w:pPr>
      <w:r>
        <w:separator/>
      </w:r>
    </w:p>
  </w:footnote>
  <w:footnote w:type="continuationSeparator" w:id="1">
    <w:p w:rsidR="00CC66FC" w:rsidRDefault="00CC66FC">
      <w:pPr>
        <w:spacing w:after="0" w:line="240" w:lineRule="auto"/>
      </w:pPr>
      <w:r>
        <w:continuationSeparator/>
      </w:r>
    </w:p>
  </w:footnote>
  <w:footnote w:type="continuationNotice" w:id="2">
    <w:p w:rsidR="00CC66FC" w:rsidRDefault="00CC66FC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7F5A21" w:rsidTr="2EF02BE8">
      <w:trPr>
        <w:trHeight w:val="300"/>
      </w:trPr>
      <w:tc>
        <w:tcPr>
          <w:tcW w:w="4650" w:type="dxa"/>
        </w:tcPr>
        <w:p w:rsidR="007F5A21" w:rsidRDefault="007F5A21" w:rsidP="2EF02BE8">
          <w:pPr>
            <w:pStyle w:val="Cabealho"/>
            <w:ind w:left="-115"/>
          </w:pPr>
        </w:p>
      </w:tc>
      <w:tc>
        <w:tcPr>
          <w:tcW w:w="4650" w:type="dxa"/>
        </w:tcPr>
        <w:p w:rsidR="007F5A21" w:rsidRDefault="007F5A21" w:rsidP="2EF02BE8">
          <w:pPr>
            <w:pStyle w:val="Cabealho"/>
            <w:jc w:val="center"/>
          </w:pPr>
        </w:p>
      </w:tc>
      <w:tc>
        <w:tcPr>
          <w:tcW w:w="4650" w:type="dxa"/>
        </w:tcPr>
        <w:p w:rsidR="007F5A21" w:rsidRDefault="007F5A21" w:rsidP="2EF02BE8">
          <w:pPr>
            <w:pStyle w:val="Cabealho"/>
            <w:ind w:right="-115"/>
            <w:jc w:val="right"/>
          </w:pPr>
        </w:p>
      </w:tc>
    </w:tr>
  </w:tbl>
  <w:p w:rsidR="007F5A21" w:rsidRDefault="007F5A21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A21" w:rsidRDefault="007F5A21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7F5A21" w:rsidTr="00B6042D">
      <w:trPr>
        <w:trHeight w:val="1005"/>
        <w:jc w:val="center"/>
      </w:trPr>
      <w:tc>
        <w:tcPr>
          <w:tcW w:w="922" w:type="dxa"/>
        </w:tcPr>
        <w:p w:rsidR="007F5A21" w:rsidRDefault="007F5A21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7F5A21" w:rsidRPr="00B6042D" w:rsidRDefault="007F5A21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7F5A21" w:rsidRDefault="007F5A21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7F5A21" w:rsidRPr="00617600" w:rsidRDefault="007F5A21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007F5A21" w:rsidRDefault="007F5A21" w:rsidP="001366D8">
          <w:pPr>
            <w:pStyle w:val="Cabealho"/>
            <w:spacing w:after="100" w:afterAutospacing="1"/>
            <w:ind w:right="-115"/>
            <w:jc w:val="right"/>
          </w:pPr>
        </w:p>
        <w:p w:rsidR="007F5A21" w:rsidRDefault="007F5A2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007F5A21" w:rsidRDefault="007F5A2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A7A01"/>
    <w:multiLevelType w:val="multilevel"/>
    <w:tmpl w:val="B1F0E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8C6863"/>
    <w:multiLevelType w:val="multilevel"/>
    <w:tmpl w:val="DC8EB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EA13C9"/>
    <w:multiLevelType w:val="multilevel"/>
    <w:tmpl w:val="517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15457D"/>
    <w:multiLevelType w:val="multilevel"/>
    <w:tmpl w:val="33A0C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86F6D"/>
    <w:rsid w:val="00090EAE"/>
    <w:rsid w:val="00097064"/>
    <w:rsid w:val="000A09A8"/>
    <w:rsid w:val="000A6FF8"/>
    <w:rsid w:val="000B55B0"/>
    <w:rsid w:val="000D13C1"/>
    <w:rsid w:val="000D2509"/>
    <w:rsid w:val="000E2DC4"/>
    <w:rsid w:val="000E47AA"/>
    <w:rsid w:val="00110BC8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C5E27"/>
    <w:rsid w:val="001D5E18"/>
    <w:rsid w:val="001F00DB"/>
    <w:rsid w:val="001F00E8"/>
    <w:rsid w:val="002070B0"/>
    <w:rsid w:val="0021371A"/>
    <w:rsid w:val="002310FD"/>
    <w:rsid w:val="002413CF"/>
    <w:rsid w:val="00241B5C"/>
    <w:rsid w:val="002446BA"/>
    <w:rsid w:val="0024F596"/>
    <w:rsid w:val="0025316D"/>
    <w:rsid w:val="002618EA"/>
    <w:rsid w:val="00284FA4"/>
    <w:rsid w:val="00290C18"/>
    <w:rsid w:val="00297C7E"/>
    <w:rsid w:val="002B57E6"/>
    <w:rsid w:val="002B7763"/>
    <w:rsid w:val="002D5419"/>
    <w:rsid w:val="002E3C0D"/>
    <w:rsid w:val="00300683"/>
    <w:rsid w:val="0030528B"/>
    <w:rsid w:val="003521A9"/>
    <w:rsid w:val="0035650E"/>
    <w:rsid w:val="0037086E"/>
    <w:rsid w:val="003952BD"/>
    <w:rsid w:val="003E196A"/>
    <w:rsid w:val="003F7EA3"/>
    <w:rsid w:val="00414ECA"/>
    <w:rsid w:val="00420B61"/>
    <w:rsid w:val="00425835"/>
    <w:rsid w:val="00450C0A"/>
    <w:rsid w:val="00472FD9"/>
    <w:rsid w:val="00480806"/>
    <w:rsid w:val="004818A1"/>
    <w:rsid w:val="00483851"/>
    <w:rsid w:val="004844A4"/>
    <w:rsid w:val="004974CA"/>
    <w:rsid w:val="004B7293"/>
    <w:rsid w:val="004C088F"/>
    <w:rsid w:val="004C79C6"/>
    <w:rsid w:val="004D4B88"/>
    <w:rsid w:val="004D70D3"/>
    <w:rsid w:val="004F5BCC"/>
    <w:rsid w:val="00513098"/>
    <w:rsid w:val="00517ED6"/>
    <w:rsid w:val="00592B7E"/>
    <w:rsid w:val="005954A2"/>
    <w:rsid w:val="0059603D"/>
    <w:rsid w:val="005971EF"/>
    <w:rsid w:val="005A5F7D"/>
    <w:rsid w:val="005B3098"/>
    <w:rsid w:val="005B580D"/>
    <w:rsid w:val="005B6FC7"/>
    <w:rsid w:val="005C6561"/>
    <w:rsid w:val="005D79C1"/>
    <w:rsid w:val="005F61D3"/>
    <w:rsid w:val="006062CA"/>
    <w:rsid w:val="00613259"/>
    <w:rsid w:val="00616C65"/>
    <w:rsid w:val="00617600"/>
    <w:rsid w:val="006218E8"/>
    <w:rsid w:val="00634F38"/>
    <w:rsid w:val="00651A64"/>
    <w:rsid w:val="00656F65"/>
    <w:rsid w:val="006579A2"/>
    <w:rsid w:val="00672549"/>
    <w:rsid w:val="00685585"/>
    <w:rsid w:val="006954B9"/>
    <w:rsid w:val="006A0798"/>
    <w:rsid w:val="006B4461"/>
    <w:rsid w:val="006D3566"/>
    <w:rsid w:val="006D6577"/>
    <w:rsid w:val="006E2884"/>
    <w:rsid w:val="006F340B"/>
    <w:rsid w:val="0074007A"/>
    <w:rsid w:val="00752CEC"/>
    <w:rsid w:val="007A1383"/>
    <w:rsid w:val="007A37B4"/>
    <w:rsid w:val="007C1AE6"/>
    <w:rsid w:val="007D3B94"/>
    <w:rsid w:val="007D7323"/>
    <w:rsid w:val="007F31FB"/>
    <w:rsid w:val="007F5A21"/>
    <w:rsid w:val="008010B7"/>
    <w:rsid w:val="00817118"/>
    <w:rsid w:val="00846004"/>
    <w:rsid w:val="00851251"/>
    <w:rsid w:val="00852AD8"/>
    <w:rsid w:val="00857E8E"/>
    <w:rsid w:val="0086352A"/>
    <w:rsid w:val="008961B1"/>
    <w:rsid w:val="008A3760"/>
    <w:rsid w:val="008A461A"/>
    <w:rsid w:val="008B1755"/>
    <w:rsid w:val="008B5A61"/>
    <w:rsid w:val="008D42E0"/>
    <w:rsid w:val="0090188D"/>
    <w:rsid w:val="00904B9E"/>
    <w:rsid w:val="00933039"/>
    <w:rsid w:val="009420F4"/>
    <w:rsid w:val="009823D8"/>
    <w:rsid w:val="00995CC9"/>
    <w:rsid w:val="009D78EC"/>
    <w:rsid w:val="009F5E77"/>
    <w:rsid w:val="00A610F0"/>
    <w:rsid w:val="00A65671"/>
    <w:rsid w:val="00A739BF"/>
    <w:rsid w:val="00A74361"/>
    <w:rsid w:val="00A946D4"/>
    <w:rsid w:val="00A94D43"/>
    <w:rsid w:val="00AC08AA"/>
    <w:rsid w:val="00AE1465"/>
    <w:rsid w:val="00AE14A6"/>
    <w:rsid w:val="00AE25ED"/>
    <w:rsid w:val="00AE4AC2"/>
    <w:rsid w:val="00AE6A24"/>
    <w:rsid w:val="00AE7956"/>
    <w:rsid w:val="00AF0E5C"/>
    <w:rsid w:val="00B00430"/>
    <w:rsid w:val="00B05073"/>
    <w:rsid w:val="00B14FF5"/>
    <w:rsid w:val="00B43F48"/>
    <w:rsid w:val="00B530DB"/>
    <w:rsid w:val="00B6042D"/>
    <w:rsid w:val="00B6507E"/>
    <w:rsid w:val="00B6593B"/>
    <w:rsid w:val="00B70A1F"/>
    <w:rsid w:val="00B74C4B"/>
    <w:rsid w:val="00B75520"/>
    <w:rsid w:val="00B82A70"/>
    <w:rsid w:val="00B92929"/>
    <w:rsid w:val="00B940AE"/>
    <w:rsid w:val="00B974CE"/>
    <w:rsid w:val="00BA7A17"/>
    <w:rsid w:val="00BB7341"/>
    <w:rsid w:val="00BC4065"/>
    <w:rsid w:val="00BE2B72"/>
    <w:rsid w:val="00BF1152"/>
    <w:rsid w:val="00C45FB1"/>
    <w:rsid w:val="00C62D3E"/>
    <w:rsid w:val="00C6445F"/>
    <w:rsid w:val="00C65043"/>
    <w:rsid w:val="00C764DA"/>
    <w:rsid w:val="00C83B00"/>
    <w:rsid w:val="00C947F3"/>
    <w:rsid w:val="00CC66FC"/>
    <w:rsid w:val="00CD3904"/>
    <w:rsid w:val="00CD40DC"/>
    <w:rsid w:val="00CF09BD"/>
    <w:rsid w:val="00CF11F5"/>
    <w:rsid w:val="00CF6479"/>
    <w:rsid w:val="00CF76F3"/>
    <w:rsid w:val="00D03E13"/>
    <w:rsid w:val="00D11A5C"/>
    <w:rsid w:val="00D17908"/>
    <w:rsid w:val="00D20A60"/>
    <w:rsid w:val="00D20B3D"/>
    <w:rsid w:val="00D32D37"/>
    <w:rsid w:val="00D841E2"/>
    <w:rsid w:val="00D87DB0"/>
    <w:rsid w:val="00DB4BE6"/>
    <w:rsid w:val="00DC0798"/>
    <w:rsid w:val="00DE167E"/>
    <w:rsid w:val="00E04C8E"/>
    <w:rsid w:val="00E16A65"/>
    <w:rsid w:val="00E34EF0"/>
    <w:rsid w:val="00E80DFA"/>
    <w:rsid w:val="00E80E8B"/>
    <w:rsid w:val="00E872EA"/>
    <w:rsid w:val="00E938AA"/>
    <w:rsid w:val="00EC0C72"/>
    <w:rsid w:val="00EC3C66"/>
    <w:rsid w:val="00EDCCB4"/>
    <w:rsid w:val="00EE473C"/>
    <w:rsid w:val="00EE595B"/>
    <w:rsid w:val="00EF1002"/>
    <w:rsid w:val="00EF5D91"/>
    <w:rsid w:val="00F03461"/>
    <w:rsid w:val="00F218A1"/>
    <w:rsid w:val="00F32976"/>
    <w:rsid w:val="00F36C90"/>
    <w:rsid w:val="00F71567"/>
    <w:rsid w:val="00F969F5"/>
    <w:rsid w:val="00F96B3C"/>
    <w:rsid w:val="00FB3FFD"/>
    <w:rsid w:val="00FE2DA2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  <o:rules v:ext="edit">
        <o:r id="V:Rule5" type="connector" idref="#_x0000_s2060"/>
        <o:r id="V:Rule6" type="connector" idref="#_x0000_s2061"/>
        <o:r id="V:Rule7" type="connector" idref="#_x0000_s2062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0B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  <w:style w:type="character" w:customStyle="1" w:styleId="ms-1">
    <w:name w:val="ms-1"/>
    <w:basedOn w:val="Fontepargpadro"/>
    <w:rsid w:val="0086352A"/>
  </w:style>
  <w:style w:type="character" w:customStyle="1" w:styleId="max-w-15ch">
    <w:name w:val="max-w-[15ch]"/>
    <w:basedOn w:val="Fontepargpadro"/>
    <w:rsid w:val="0086352A"/>
  </w:style>
  <w:style w:type="character" w:customStyle="1" w:styleId="-me-1">
    <w:name w:val="-me-1"/>
    <w:basedOn w:val="Fontepargpadro"/>
    <w:rsid w:val="0086352A"/>
  </w:style>
  <w:style w:type="character" w:styleId="Hyperlink">
    <w:name w:val="Hyperlink"/>
    <w:basedOn w:val="Fontepargpadro"/>
    <w:uiPriority w:val="99"/>
    <w:unhideWhenUsed/>
    <w:rsid w:val="0086352A"/>
    <w:rPr>
      <w:color w:val="467886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0BC8"/>
    <w:rPr>
      <w:rFonts w:asciiTheme="majorHAnsi" w:eastAsiaTheme="majorEastAsia" w:hAnsiTheme="majorHAnsi" w:cstheme="majorBidi"/>
      <w:b/>
      <w:bCs/>
      <w:color w:val="156082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0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3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4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BC4BC-7C58-423D-B896-864F78B0F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2050</Words>
  <Characters>11071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2025-10-16T14:24:00Z</cp:lastPrinted>
  <dcterms:created xsi:type="dcterms:W3CDTF">2025-10-16T14:24:00Z</dcterms:created>
  <dcterms:modified xsi:type="dcterms:W3CDTF">2025-10-16T14:24:00Z</dcterms:modified>
</cp:coreProperties>
</file>