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“Biblioteca Popular com Posto Avançado de Direitos Autorais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color w:val="333333"/>
          <w:sz w:val="20"/>
          <w:szCs w:val="20"/>
          <w:rtl w:val="0"/>
        </w:rPr>
        <w:t xml:space="preserve">0135 - Educação para Todos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Biblioteca Popular com Posto Avançado de Direitos Autorais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0135 - Educação para Todos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810"/>
        <w:gridCol w:w="1335"/>
        <w:gridCol w:w="105"/>
        <w:gridCol w:w="900"/>
        <w:gridCol w:w="900"/>
        <w:gridCol w:w="105"/>
        <w:gridCol w:w="1380"/>
        <w:gridCol w:w="1155"/>
        <w:gridCol w:w="750"/>
        <w:gridCol w:w="135"/>
        <w:gridCol w:w="1455"/>
        <w:gridCol w:w="885"/>
        <w:gridCol w:w="735"/>
        <w:gridCol w:w="1350"/>
        <w:gridCol w:w="1815"/>
        <w:tblGridChange w:id="0">
          <w:tblGrid>
            <w:gridCol w:w="810"/>
            <w:gridCol w:w="810"/>
            <w:gridCol w:w="1335"/>
            <w:gridCol w:w="105"/>
            <w:gridCol w:w="900"/>
            <w:gridCol w:w="900"/>
            <w:gridCol w:w="105"/>
            <w:gridCol w:w="1380"/>
            <w:gridCol w:w="1155"/>
            <w:gridCol w:w="750"/>
            <w:gridCol w:w="135"/>
            <w:gridCol w:w="1455"/>
            <w:gridCol w:w="885"/>
            <w:gridCol w:w="735"/>
            <w:gridCol w:w="135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Biblioteca Popular com Posto Avançado de Direitos Autorais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bibliotecas populares em número mais significativo em Niterói, cada uma equipada com um Posto Avançado de Direitos Autorais, com o objetivo de democratizar o acesso à leitura, à informação e à cultura, apoiar autores locais, regularizar obras e estimular a produção literária municipal.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R$4.000.000,00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manutenção de bibliotecas populares em número mais significativo em Niterói, cada uma com um Posto Avançado de Direitos Autorais, visa democratizar o acesso à leitura, à informação e à cultura, promovendo a inclusão educacional e cultural da população. Os postos avançados contribuirão para o desenvolvimento do potencial criativo dos cidadãos, apoiando autores locais, regularizando obras e incentivando a produção literária municipal. Além disso, as bibliotecas proporcionarão espaço de leitura, informática, atividades culturais e atendimento contínuo ao público, fortalecendo a educação, o conhecimento e a identidade cultural de Niterói.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