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55A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99531D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MODIFICATIVA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B15498" w:rsidRDefault="0099531D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Modifica-se </w:t>
      </w:r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o Produto</w:t>
      </w:r>
      <w:r w:rsidRPr="00B1549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“</w:t>
      </w:r>
      <w:r w:rsidRPr="00B15498">
        <w:rPr>
          <w:rFonts w:ascii="Tahoma" w:hAnsi="Tahoma" w:cs="Tahoma"/>
          <w:b/>
          <w:sz w:val="16"/>
          <w:szCs w:val="16"/>
        </w:rPr>
        <w:t>Conservação da Drenagem Mantida”</w:t>
      </w:r>
      <w:r w:rsidR="00EA6E88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 </w:t>
      </w:r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no </w:t>
      </w:r>
      <w:proofErr w:type="gramStart"/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anexo I </w:t>
      </w:r>
      <w:r w:rsidR="00C362D7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e VIII </w:t>
      </w:r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– Estrutura</w:t>
      </w:r>
      <w:proofErr w:type="gramEnd"/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 Consolidada do Plano Plurianual 2026-2029 para o quadriênio 2026/2029, </w:t>
      </w:r>
      <w:r w:rsidR="00A413E5" w:rsidRPr="00B15498">
        <w:rPr>
          <w:rFonts w:ascii="Tahoma" w:hAnsi="Tahoma" w:cs="Tahoma"/>
          <w:b/>
          <w:sz w:val="16"/>
          <w:szCs w:val="16"/>
        </w:rPr>
        <w:t>0</w:t>
      </w:r>
      <w:r w:rsidRPr="00B15498">
        <w:rPr>
          <w:rFonts w:ascii="Tahoma" w:hAnsi="Tahoma" w:cs="Tahoma"/>
          <w:b/>
          <w:sz w:val="16"/>
          <w:szCs w:val="16"/>
        </w:rPr>
        <w:t>0</w:t>
      </w:r>
      <w:r w:rsidR="00A413E5" w:rsidRPr="00B15498">
        <w:rPr>
          <w:rFonts w:ascii="Tahoma" w:hAnsi="Tahoma" w:cs="Tahoma"/>
          <w:b/>
          <w:sz w:val="16"/>
          <w:szCs w:val="16"/>
        </w:rPr>
        <w:t>1</w:t>
      </w:r>
      <w:r w:rsidRPr="00B15498">
        <w:rPr>
          <w:rFonts w:ascii="Tahoma" w:hAnsi="Tahoma" w:cs="Tahoma"/>
          <w:b/>
          <w:sz w:val="16"/>
          <w:szCs w:val="16"/>
        </w:rPr>
        <w:t>0</w:t>
      </w:r>
      <w:r w:rsidR="00A413E5" w:rsidRPr="00B15498">
        <w:rPr>
          <w:rFonts w:ascii="Tahoma" w:hAnsi="Tahoma" w:cs="Tahoma"/>
          <w:b/>
          <w:sz w:val="16"/>
          <w:szCs w:val="16"/>
        </w:rPr>
        <w:t xml:space="preserve"> </w:t>
      </w:r>
      <w:r w:rsidRPr="00B15498">
        <w:rPr>
          <w:rFonts w:ascii="Tahoma" w:hAnsi="Tahoma" w:cs="Tahoma"/>
          <w:b/>
          <w:sz w:val="16"/>
          <w:szCs w:val="16"/>
        </w:rPr>
        <w:t>–</w:t>
      </w:r>
      <w:r w:rsidR="00A413E5" w:rsidRPr="00B15498">
        <w:rPr>
          <w:rFonts w:ascii="Tahoma" w:hAnsi="Tahoma" w:cs="Tahoma"/>
          <w:b/>
          <w:sz w:val="16"/>
          <w:szCs w:val="16"/>
        </w:rPr>
        <w:t xml:space="preserve"> </w:t>
      </w:r>
      <w:r w:rsidRPr="00B15498">
        <w:rPr>
          <w:rFonts w:ascii="Tahoma" w:hAnsi="Tahoma" w:cs="Tahoma"/>
          <w:b/>
          <w:sz w:val="16"/>
          <w:szCs w:val="16"/>
        </w:rPr>
        <w:t>Cidade Urbanizada</w:t>
      </w:r>
      <w:r w:rsidR="09F74ADB" w:rsidRPr="00B1549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, </w:t>
      </w:r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do Projeto de Lei </w:t>
      </w:r>
      <w:r w:rsidR="004D70D3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361</w:t>
      </w:r>
      <w:r w:rsidR="09F74ADB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/202</w:t>
      </w:r>
      <w:r w:rsidR="4BD3FD70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5</w:t>
      </w:r>
      <w:r w:rsidR="09F74ADB" w:rsidRPr="00B1549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.</w:t>
      </w:r>
    </w:p>
    <w:p w:rsidR="003521A9" w:rsidRPr="00B15498" w:rsidRDefault="7DEE9414" w:rsidP="00664C81">
      <w:pPr>
        <w:pStyle w:val="normal0"/>
        <w:spacing w:after="0" w:line="240" w:lineRule="auto"/>
        <w:jc w:val="both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Art.1º -</w:t>
      </w:r>
      <w:r w:rsidR="2B530AD6" w:rsidRPr="00B15498">
        <w:rPr>
          <w:rFonts w:ascii="Tahoma" w:eastAsia="Times New Roman" w:hAnsi="Tahoma" w:cs="Tahoma"/>
          <w:color w:val="000000" w:themeColor="text1"/>
          <w:sz w:val="16"/>
          <w:szCs w:val="16"/>
          <w:u w:val="single"/>
        </w:rPr>
        <w:t>A</w:t>
      </w:r>
      <w:r w:rsidR="00097064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crescenta-se o </w:t>
      </w:r>
      <w:r w:rsidR="00097064" w:rsidRPr="00B1549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Produto </w:t>
      </w:r>
      <w:r w:rsidR="0099531D" w:rsidRPr="00B1549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“</w:t>
      </w:r>
      <w:r w:rsidR="0099531D" w:rsidRPr="00B15498">
        <w:rPr>
          <w:rFonts w:ascii="Tahoma" w:hAnsi="Tahoma" w:cs="Tahoma"/>
          <w:b/>
          <w:sz w:val="16"/>
          <w:szCs w:val="16"/>
        </w:rPr>
        <w:t>Conservação da Drenagem Mantida”</w:t>
      </w:r>
      <w:r w:rsidR="0099531D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 </w:t>
      </w:r>
      <w:r w:rsidR="00097064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no anexo I </w:t>
      </w:r>
      <w:r w:rsidR="002315A8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e VIII </w:t>
      </w:r>
      <w:r w:rsidR="00097064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 xml:space="preserve">– Estrutura Consolidada do Plano Plurianual 2026-2029 para o quadriênio 2026/2029, no Programa </w:t>
      </w:r>
      <w:r w:rsidR="0099531D" w:rsidRPr="00B15498">
        <w:rPr>
          <w:rFonts w:ascii="Tahoma" w:hAnsi="Tahoma" w:cs="Tahoma"/>
          <w:b/>
          <w:sz w:val="16"/>
          <w:szCs w:val="16"/>
        </w:rPr>
        <w:t>0010 – Cidade Urbanizada</w:t>
      </w:r>
      <w:r w:rsidR="00097064" w:rsidRPr="00B15498">
        <w:rPr>
          <w:rFonts w:ascii="Tahoma" w:eastAsia="Times New Roman" w:hAnsi="Tahoma" w:cs="Tahoma"/>
          <w:bCs/>
          <w:color w:val="000000" w:themeColor="text1"/>
          <w:sz w:val="16"/>
          <w:szCs w:val="16"/>
        </w:rPr>
        <w:t>, do Projeto de Lei 361/2025</w:t>
      </w:r>
      <w:r w:rsidRPr="00B15498">
        <w:rPr>
          <w:rFonts w:ascii="Tahoma" w:eastAsia="Times New Roman" w:hAnsi="Tahoma" w:cs="Tahoma"/>
          <w:color w:val="000000" w:themeColor="text1"/>
          <w:sz w:val="16"/>
          <w:szCs w:val="16"/>
        </w:rPr>
        <w:t xml:space="preserve">, </w:t>
      </w:r>
      <w:r w:rsidR="7CD9878A" w:rsidRPr="00B15498">
        <w:rPr>
          <w:rFonts w:ascii="Tahoma" w:eastAsia="Times New Roman" w:hAnsi="Tahoma" w:cs="Tahoma"/>
          <w:color w:val="000000" w:themeColor="text1"/>
          <w:sz w:val="16"/>
          <w:szCs w:val="16"/>
        </w:rPr>
        <w:t>conforme tabela</w:t>
      </w:r>
      <w:r w:rsidRPr="00B15498">
        <w:rPr>
          <w:rFonts w:ascii="Tahoma" w:eastAsia="Times New Roman" w:hAnsi="Tahoma" w:cs="Tahoma"/>
          <w:color w:val="000000" w:themeColor="text1"/>
          <w:sz w:val="16"/>
          <w:szCs w:val="16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1130"/>
        <w:gridCol w:w="925"/>
        <w:gridCol w:w="67"/>
        <w:gridCol w:w="788"/>
        <w:gridCol w:w="952"/>
        <w:gridCol w:w="345"/>
        <w:gridCol w:w="1245"/>
        <w:gridCol w:w="960"/>
        <w:gridCol w:w="844"/>
        <w:gridCol w:w="394"/>
        <w:gridCol w:w="1276"/>
        <w:gridCol w:w="851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65715B" w:rsidRDefault="0099531D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Pr="00C10CE3">
              <w:rPr>
                <w:rFonts w:ascii="Tahoma" w:hAnsi="Tahoma" w:cs="Tahoma"/>
                <w:b/>
                <w:sz w:val="18"/>
                <w:szCs w:val="18"/>
              </w:rPr>
              <w:t>1</w:t>
            </w:r>
            <w:r>
              <w:rPr>
                <w:rFonts w:ascii="Tahoma" w:hAnsi="Tahoma" w:cs="Tahoma"/>
                <w:b/>
                <w:sz w:val="18"/>
                <w:szCs w:val="18"/>
              </w:rPr>
              <w:t>0</w:t>
            </w:r>
            <w:r w:rsidRPr="00C10CE3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–</w:t>
            </w:r>
            <w:r w:rsidRPr="00C10CE3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Cidade</w:t>
            </w:r>
            <w:proofErr w:type="gramEnd"/>
            <w:r>
              <w:rPr>
                <w:rFonts w:ascii="Tahoma" w:hAnsi="Tahoma" w:cs="Tahoma"/>
                <w:b/>
                <w:sz w:val="18"/>
                <w:szCs w:val="18"/>
              </w:rPr>
              <w:t xml:space="preserve"> Urbanizada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3B262D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3120F8" w:rsidRDefault="003120F8" w:rsidP="003120F8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8"/>
                <w:szCs w:val="18"/>
              </w:rPr>
            </w:pPr>
            <w:r w:rsidRPr="003120F8">
              <w:rPr>
                <w:rFonts w:ascii="Tahoma" w:hAnsi="Tahoma" w:cs="Tahoma"/>
                <w:sz w:val="18"/>
                <w:szCs w:val="18"/>
              </w:rPr>
              <w:t xml:space="preserve">CONSERVAÇÃO </w:t>
            </w:r>
            <w:r w:rsidRPr="003120F8">
              <w:rPr>
                <w:rFonts w:ascii="Tahoma" w:hAnsi="Tahoma" w:cs="Tahoma"/>
                <w:b/>
                <w:sz w:val="18"/>
                <w:szCs w:val="18"/>
              </w:rPr>
              <w:t>E GESTÃO INTEGRADA</w:t>
            </w:r>
            <w:r w:rsidRPr="003120F8">
              <w:rPr>
                <w:rFonts w:ascii="Tahoma" w:hAnsi="Tahoma" w:cs="Tahoma"/>
                <w:sz w:val="18"/>
                <w:szCs w:val="18"/>
              </w:rPr>
              <w:t xml:space="preserve"> DA DRENAGEM MANTIDA</w:t>
            </w:r>
          </w:p>
        </w:tc>
      </w:tr>
      <w:tr w:rsidR="007F2912" w:rsidRPr="006579A2" w:rsidTr="002315A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3B262D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262D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B15498" w:rsidRDefault="00B15498" w:rsidP="00B15498">
            <w:pPr>
              <w:pStyle w:val="normal0"/>
              <w:spacing w:after="0" w:line="24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15498">
              <w:rPr>
                <w:rFonts w:ascii="Tahoma" w:hAnsi="Tahoma" w:cs="Tahoma"/>
                <w:sz w:val="16"/>
                <w:szCs w:val="16"/>
              </w:rPr>
              <w:t xml:space="preserve">Implantar e manter ações contínuas de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conservação, modernização e monitoramento integrado da drenagem urbana de Niterói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, assegurando o pleno funcionamento das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redes pluviais, galerias e dispositivos de captação e escoamento das águas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, com ênfase na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prevenção de alagamentos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 e na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eficiência do sistema de manejo das águas pluviais</w:t>
            </w:r>
            <w:r w:rsidRPr="00B15498">
              <w:rPr>
                <w:rFonts w:ascii="Tahoma" w:hAnsi="Tahoma" w:cs="Tahoma"/>
                <w:sz w:val="16"/>
                <w:szCs w:val="16"/>
              </w:rPr>
              <w:t>.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As ações compreendem o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mapeamento e diagnóstico georreferenciado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 das redes subterrâneas,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manutenção preventiva e corretiva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,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limpeza periódica dos dispositivos de drenagem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,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implantação de sistemas tecnológicos de gestão e modelagem hidrológica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, e a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integração dessas informações ao planejamento urbano e ambiental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 do município, em consonância com as diretrizes do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Plano Diretor de Niterói (Lei Complementar nº 3.385/2019)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, da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Lei Federal nº 11.445/2007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 (Política Nacional de Saneamento Básico, atualizada pela Lei nº 14.026/2020) e do </w:t>
            </w:r>
            <w:r w:rsidRPr="00B15498">
              <w:rPr>
                <w:rStyle w:val="Forte"/>
                <w:rFonts w:ascii="Tahoma" w:hAnsi="Tahoma" w:cs="Tahoma"/>
                <w:sz w:val="16"/>
                <w:szCs w:val="16"/>
              </w:rPr>
              <w:t>Decreto nº 11.030/2022</w:t>
            </w:r>
            <w:r w:rsidRPr="00B15498">
              <w:rPr>
                <w:rFonts w:ascii="Tahoma" w:hAnsi="Tahoma" w:cs="Tahoma"/>
                <w:sz w:val="16"/>
                <w:szCs w:val="16"/>
              </w:rPr>
              <w:t xml:space="preserve"> (Política Nacional de Drenagem Urbana e Manejo das Águas Pluviais).</w:t>
            </w:r>
          </w:p>
        </w:tc>
      </w:tr>
      <w:tr w:rsidR="007F2912" w:rsidRPr="006579A2" w:rsidTr="007F291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480806" w:rsidRDefault="0099531D" w:rsidP="005D78C8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t>SECONSER</w:t>
            </w:r>
          </w:p>
        </w:tc>
        <w:tc>
          <w:tcPr>
            <w:tcW w:w="167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480806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TRANSVERSAL:</w:t>
            </w:r>
          </w:p>
        </w:tc>
        <w:tc>
          <w:tcPr>
            <w:tcW w:w="4322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A7273" w:rsidRDefault="00C10CE3" w:rsidP="20FF0B1A">
            <w:pPr>
              <w:spacing w:after="0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A23552">
              <w:rPr>
                <w:rFonts w:ascii="Tahoma" w:hAnsi="Tahoma" w:cs="Tahoma"/>
                <w:sz w:val="16"/>
                <w:szCs w:val="16"/>
              </w:rPr>
              <w:t>NITERÓI POR ELAS; NITERÓI PRIMEIRA INFÂNCIA; NITERÓI ANTIRRACISTA; NITERÓI JOVEM</w:t>
            </w:r>
          </w:p>
        </w:tc>
      </w:tr>
      <w:tr w:rsidR="007F2912" w:rsidRPr="004D70D3" w:rsidTr="007F291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474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7F2912" w:rsidRPr="004D70D3" w:rsidTr="007F291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14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10CE3">
        <w:trPr>
          <w:trHeight w:val="332"/>
        </w:trPr>
        <w:tc>
          <w:tcPr>
            <w:tcW w:w="9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51" w:type="dxa"/>
            <w:vMerge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A1314F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margin-left:40.8pt;margin-top:-5.4pt;width:0;height:123.25pt;z-index:251676672;mso-position-horizontal-relative:text;mso-position-vertical-relative:text" o:connectortype="straight"/>
              </w:pict>
            </w:r>
            <w:r w:rsidR="007F2912"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DC753D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1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A1314F" w:rsidP="003120F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3" type="#_x0000_t32" style="position:absolute;left:0;text-align:left;margin-left:50.25pt;margin-top:3.95pt;width:.8pt;height:96pt;flip:x;z-index:251673600;mso-position-horizontal-relative:text;mso-position-vertical-relative:text" o:connectortype="straight"/>
              </w:pict>
            </w:r>
            <w:r w:rsidR="00C362D7"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3120F8">
              <w:rPr>
                <w:rFonts w:ascii="Tahoma" w:hAnsi="Tahoma" w:cs="Tahoma"/>
                <w:sz w:val="16"/>
                <w:szCs w:val="16"/>
              </w:rPr>
              <w:t>2</w:t>
            </w:r>
            <w:r w:rsidR="00C362D7"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A1314F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4" type="#_x0000_t32" style="position:absolute;left:0;text-align:left;margin-left:59.65pt;margin-top:-.85pt;width:.8pt;height:96pt;flip:x;z-index:25167462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38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A1314F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noProof/>
                <w:sz w:val="16"/>
                <w:szCs w:val="16"/>
                <w:lang w:eastAsia="pt-BR"/>
              </w:rPr>
              <w:pict>
                <v:shape id="_x0000_s2065" type="#_x0000_t32" style="position:absolute;left:0;text-align:left;margin-left:57.05pt;margin-top:.35pt;width:.8pt;height:96pt;flip:x;z-index:251675648;mso-position-horizontal-relative:text;mso-position-vertical-relative:text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6063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655A0E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2315A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005D78C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6063D">
              <w:rPr>
                <w:rFonts w:ascii="Tahoma" w:hAnsi="Tahoma" w:cs="Tahoma"/>
                <w:sz w:val="16"/>
                <w:szCs w:val="16"/>
              </w:rPr>
              <w:t>2</w:t>
            </w:r>
            <w:r w:rsidRPr="00C10CE3"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007F2912" w:rsidRPr="004D70D3" w:rsidTr="00C362D7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38" w:type="dxa"/>
            <w:gridSpan w:val="2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7F2912" w:rsidRPr="00C10CE3" w:rsidRDefault="007F2912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7F2912" w:rsidRPr="00C10CE3" w:rsidRDefault="007F2912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10CE3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4E7FF0" w:rsidRDefault="004E7FF0" w:rsidP="004E7FF0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811B66" w:rsidRDefault="00C10CE3" w:rsidP="002315A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43DE1">
              <w:rPr>
                <w:rFonts w:ascii="Tahoma" w:hAnsi="Tahoma" w:cs="Tahoma"/>
                <w:sz w:val="18"/>
                <w:szCs w:val="18"/>
              </w:rPr>
              <w:t>0140 | Justiça, Cidadania e Diversidade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3120F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26063D">
              <w:rPr>
                <w:rFonts w:ascii="Tahoma" w:hAnsi="Tahoma" w:cs="Tahoma"/>
                <w:sz w:val="16"/>
                <w:szCs w:val="16"/>
              </w:rPr>
              <w:t xml:space="preserve"> 1.</w:t>
            </w:r>
            <w:r w:rsidR="003120F8">
              <w:rPr>
                <w:rFonts w:ascii="Tahoma" w:hAnsi="Tahoma" w:cs="Tahoma"/>
                <w:sz w:val="16"/>
                <w:szCs w:val="16"/>
              </w:rPr>
              <w:t>0</w:t>
            </w:r>
            <w:r>
              <w:rPr>
                <w:rFonts w:ascii="Tahoma" w:hAnsi="Tahoma" w:cs="Tahoma"/>
                <w:sz w:val="16"/>
                <w:szCs w:val="16"/>
              </w:rPr>
              <w:t>00.000,00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4E7FF0" w:rsidRPr="00644C75" w:rsidTr="002315A8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4E7FF0" w:rsidRPr="00DA19EB" w:rsidRDefault="004E7FF0" w:rsidP="002315A8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0099531D" w:rsidRDefault="0099531D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E31CCE" w:rsidRPr="0065715B" w:rsidRDefault="00D25504" w:rsidP="004E7FF0">
      <w:pPr>
        <w:widowControl w:val="0"/>
        <w:spacing w:after="0" w:line="276" w:lineRule="auto"/>
        <w:jc w:val="both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>J</w:t>
      </w:r>
      <w:r w:rsidR="6EB48AD2" w:rsidRPr="0065715B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t xml:space="preserve">USTIFICATIVA: </w:t>
      </w:r>
    </w:p>
    <w:p w:rsidR="003120F8" w:rsidRPr="003120F8" w:rsidRDefault="003120F8" w:rsidP="003120F8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A presente emenda tem por finalidade fortalecer as ações voltadas à drenagem urbana, reconhecendo sua importância estratégica para a segurança, a sustentabilidade e a </w:t>
      </w:r>
      <w:proofErr w:type="spellStart"/>
      <w:r w:rsidRPr="003120F8">
        <w:rPr>
          <w:rFonts w:ascii="Tahoma" w:hAnsi="Tahoma" w:cs="Tahoma"/>
        </w:rPr>
        <w:t>resiliência</w:t>
      </w:r>
      <w:proofErr w:type="spellEnd"/>
      <w:r w:rsidRPr="003120F8">
        <w:rPr>
          <w:rFonts w:ascii="Tahoma" w:hAnsi="Tahoma" w:cs="Tahoma"/>
        </w:rPr>
        <w:t xml:space="preserve"> ambiental do Município de Niterói.</w:t>
      </w:r>
    </w:p>
    <w:p w:rsidR="003120F8" w:rsidRPr="003120F8" w:rsidRDefault="003120F8" w:rsidP="003120F8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O </w:t>
      </w:r>
      <w:r w:rsidRPr="003120F8">
        <w:rPr>
          <w:rStyle w:val="Forte"/>
          <w:rFonts w:ascii="Tahoma" w:hAnsi="Tahoma" w:cs="Tahoma"/>
        </w:rPr>
        <w:t>Plano Diretor Municipal de Niterói (Lei nº 3.385/2019)</w:t>
      </w:r>
      <w:r w:rsidRPr="003120F8">
        <w:rPr>
          <w:rFonts w:ascii="Tahoma" w:hAnsi="Tahoma" w:cs="Tahoma"/>
        </w:rPr>
        <w:t xml:space="preserve"> estabelece diretrizes claras para o manejo adequado das águas pluviais, o controle da impermeabilização do solo e a prevenção de riscos associados a inundações, deslizamentos e alagamentos. O documento define a </w:t>
      </w:r>
      <w:r w:rsidRPr="003120F8">
        <w:rPr>
          <w:rStyle w:val="Forte"/>
          <w:rFonts w:ascii="Tahoma" w:hAnsi="Tahoma" w:cs="Tahoma"/>
        </w:rPr>
        <w:t>drenagem urbana como componente essencial da infraestrutura verde</w:t>
      </w:r>
      <w:r w:rsidRPr="003120F8">
        <w:rPr>
          <w:rFonts w:ascii="Tahoma" w:hAnsi="Tahoma" w:cs="Tahoma"/>
        </w:rPr>
        <w:t>, integrando o planejamento territorial e ambiental do município.</w:t>
      </w:r>
    </w:p>
    <w:p w:rsidR="003120F8" w:rsidRPr="003120F8" w:rsidRDefault="003120F8" w:rsidP="003120F8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Além disso, a </w:t>
      </w:r>
      <w:r w:rsidRPr="003120F8">
        <w:rPr>
          <w:rStyle w:val="Forte"/>
          <w:rFonts w:ascii="Tahoma" w:hAnsi="Tahoma" w:cs="Tahoma"/>
        </w:rPr>
        <w:t>Lei Federal nº 11.445/2007</w:t>
      </w:r>
      <w:r w:rsidRPr="003120F8">
        <w:rPr>
          <w:rFonts w:ascii="Tahoma" w:hAnsi="Tahoma" w:cs="Tahoma"/>
        </w:rPr>
        <w:t xml:space="preserve">, com as alterações introduzidas pela </w:t>
      </w:r>
      <w:r w:rsidRPr="003120F8">
        <w:rPr>
          <w:rStyle w:val="Forte"/>
          <w:rFonts w:ascii="Tahoma" w:hAnsi="Tahoma" w:cs="Tahoma"/>
        </w:rPr>
        <w:t>Lei nº 14.026/2020 (Novo Marco Legal do Saneamento Básico)</w:t>
      </w:r>
      <w:r w:rsidRPr="003120F8">
        <w:rPr>
          <w:rFonts w:ascii="Tahoma" w:hAnsi="Tahoma" w:cs="Tahoma"/>
        </w:rPr>
        <w:t xml:space="preserve">, estabelece como diretriz nacional a </w:t>
      </w:r>
      <w:r w:rsidRPr="003120F8">
        <w:rPr>
          <w:rStyle w:val="Forte"/>
          <w:rFonts w:ascii="Tahoma" w:hAnsi="Tahoma" w:cs="Tahoma"/>
        </w:rPr>
        <w:t>prestação eficiente e sustentável dos serviços de drenagem e manejo de águas pluviais urbanas</w:t>
      </w:r>
      <w:r w:rsidRPr="003120F8">
        <w:rPr>
          <w:rFonts w:ascii="Tahoma" w:hAnsi="Tahoma" w:cs="Tahoma"/>
        </w:rPr>
        <w:t>, assegurando a redução de impactos ambientais e a melhoria da qualidade de vida da população.</w:t>
      </w:r>
    </w:p>
    <w:p w:rsidR="003120F8" w:rsidRPr="003120F8" w:rsidRDefault="003120F8" w:rsidP="003120F8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Niterói, em especial, enfrenta desafios topográficos e climáticos que tornam indispensável uma gestão técnica e integrada da drenagem urbana. O município é cortado por diversas </w:t>
      </w:r>
      <w:proofErr w:type="spellStart"/>
      <w:r w:rsidRPr="003120F8">
        <w:rPr>
          <w:rFonts w:ascii="Tahoma" w:hAnsi="Tahoma" w:cs="Tahoma"/>
        </w:rPr>
        <w:t>microbacias</w:t>
      </w:r>
      <w:proofErr w:type="spellEnd"/>
      <w:r w:rsidRPr="003120F8">
        <w:rPr>
          <w:rFonts w:ascii="Tahoma" w:hAnsi="Tahoma" w:cs="Tahoma"/>
        </w:rPr>
        <w:t xml:space="preserve"> e áreas de encosta, onde o acúmulo de resíduos e o assoreamento de galerias podem agravar alagamentos e erosões. O aprimoramento do diagnóstico e do mapeamento georreferenciado das redes de drenagem permite uma </w:t>
      </w:r>
      <w:r w:rsidRPr="003120F8">
        <w:rPr>
          <w:rStyle w:val="Forte"/>
          <w:rFonts w:ascii="Tahoma" w:hAnsi="Tahoma" w:cs="Tahoma"/>
        </w:rPr>
        <w:t>resposta mais rápida e preventiva</w:t>
      </w:r>
      <w:r w:rsidRPr="003120F8">
        <w:rPr>
          <w:rFonts w:ascii="Tahoma" w:hAnsi="Tahoma" w:cs="Tahoma"/>
        </w:rPr>
        <w:t>, além de subsidiar políticas públicas de adaptação às mudanças climáticas.</w:t>
      </w:r>
    </w:p>
    <w:p w:rsidR="003120F8" w:rsidRPr="003120F8" w:rsidRDefault="003120F8" w:rsidP="003120F8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A proposta de alteração substitui a abordagem meramente operacional por uma </w:t>
      </w:r>
      <w:r w:rsidRPr="003120F8">
        <w:rPr>
          <w:rStyle w:val="Forte"/>
          <w:rFonts w:ascii="Tahoma" w:hAnsi="Tahoma" w:cs="Tahoma"/>
        </w:rPr>
        <w:t>visão de gestão integrada e tecnológica da drenagem</w:t>
      </w:r>
      <w:r w:rsidRPr="003120F8">
        <w:rPr>
          <w:rFonts w:ascii="Tahoma" w:hAnsi="Tahoma" w:cs="Tahoma"/>
        </w:rPr>
        <w:t>, incorporando ferramentas de monitoramento, sistemas de informação territorial e ações coordenadas com os planos de mobilidade, saneamento e defesa civil.</w:t>
      </w:r>
    </w:p>
    <w:p w:rsidR="003120F8" w:rsidRPr="003120F8" w:rsidRDefault="003120F8" w:rsidP="003120F8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lastRenderedPageBreak/>
        <w:t xml:space="preserve">A medida está alinhada com os </w:t>
      </w:r>
      <w:r w:rsidRPr="003120F8">
        <w:rPr>
          <w:rStyle w:val="Forte"/>
          <w:rFonts w:ascii="Tahoma" w:hAnsi="Tahoma" w:cs="Tahoma"/>
        </w:rPr>
        <w:t>Objetivos de Desenvolvimento Sustentável da Agenda 2030 da ONU</w:t>
      </w:r>
      <w:r w:rsidRPr="003120F8">
        <w:rPr>
          <w:rFonts w:ascii="Tahoma" w:hAnsi="Tahoma" w:cs="Tahoma"/>
        </w:rPr>
        <w:t xml:space="preserve">, em especial o </w:t>
      </w:r>
      <w:r w:rsidRPr="003120F8">
        <w:rPr>
          <w:rStyle w:val="Forte"/>
          <w:rFonts w:ascii="Tahoma" w:hAnsi="Tahoma" w:cs="Tahoma"/>
        </w:rPr>
        <w:t>ODS 11 (Cidades e Comunidades Sustentáveis)</w:t>
      </w:r>
      <w:r w:rsidRPr="003120F8">
        <w:rPr>
          <w:rFonts w:ascii="Tahoma" w:hAnsi="Tahoma" w:cs="Tahoma"/>
        </w:rPr>
        <w:t xml:space="preserve"> e o </w:t>
      </w:r>
      <w:r w:rsidRPr="003120F8">
        <w:rPr>
          <w:rStyle w:val="Forte"/>
          <w:rFonts w:ascii="Tahoma" w:hAnsi="Tahoma" w:cs="Tahoma"/>
        </w:rPr>
        <w:t>ODS 13 (Ação Contra a Mudança Global do Clima)</w:t>
      </w:r>
      <w:r w:rsidRPr="003120F8">
        <w:rPr>
          <w:rFonts w:ascii="Tahoma" w:hAnsi="Tahoma" w:cs="Tahoma"/>
        </w:rPr>
        <w:t>, reforçando o compromisso de Niterói com políticas públicas modernas, baseadas em evidências e de caráter preventivo.</w:t>
      </w:r>
    </w:p>
    <w:p w:rsidR="003120F8" w:rsidRPr="003120F8" w:rsidRDefault="003120F8" w:rsidP="003120F8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Por fim, a adequação da descrição no PPA 2026–2029 busca refletir o avanço institucional e técnico da Prefeitura de Niterói no campo da drenagem urbana, promovendo </w:t>
      </w:r>
      <w:r w:rsidRPr="003120F8">
        <w:rPr>
          <w:rStyle w:val="Forte"/>
          <w:rFonts w:ascii="Tahoma" w:hAnsi="Tahoma" w:cs="Tahoma"/>
        </w:rPr>
        <w:t>planejamento de longo prazo, eficiência na aplicação dos recursos e maior segurança para a população</w:t>
      </w:r>
      <w:r w:rsidRPr="003120F8">
        <w:rPr>
          <w:rFonts w:ascii="Tahoma" w:hAnsi="Tahoma" w:cs="Tahoma"/>
        </w:rPr>
        <w:t>.</w:t>
      </w:r>
    </w:p>
    <w:p w:rsidR="00D25504" w:rsidRPr="003120F8" w:rsidRDefault="003120F8" w:rsidP="003120F8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3120F8">
        <w:rPr>
          <w:rFonts w:ascii="Tahoma" w:hAnsi="Tahoma" w:cs="Tahoma"/>
        </w:rPr>
        <w:t xml:space="preserve"> </w:t>
      </w:r>
      <w:r w:rsidR="00D25504" w:rsidRPr="003120F8">
        <w:rPr>
          <w:rFonts w:ascii="Tahoma" w:hAnsi="Tahoma" w:cs="Tahoma"/>
        </w:rPr>
        <w:t xml:space="preserve">A aprovação desta emenda representa não apenas o cumprimento de obrigações legais e constitucionais, mas também uma medida estratégica para fortalecer a </w:t>
      </w:r>
      <w:proofErr w:type="spellStart"/>
      <w:r w:rsidR="00D25504" w:rsidRPr="003120F8">
        <w:rPr>
          <w:rFonts w:ascii="Tahoma" w:hAnsi="Tahoma" w:cs="Tahoma"/>
        </w:rPr>
        <w:t>resiliência</w:t>
      </w:r>
      <w:proofErr w:type="spellEnd"/>
      <w:r w:rsidR="00D25504" w:rsidRPr="003120F8">
        <w:rPr>
          <w:rFonts w:ascii="Tahoma" w:hAnsi="Tahoma" w:cs="Tahoma"/>
        </w:rPr>
        <w:t xml:space="preserve"> urbana, proteger vidas, reduzir custos com intervenções emergenciais e garantir que Niterói passe a contar com uma rede integrada, contínua e tecnicamente apta para prevenir desastres. É uma política pública essencial para o desenvolvimento sustentável e a segurança da população.</w:t>
      </w:r>
    </w:p>
    <w:p w:rsidR="004254F5" w:rsidRDefault="004254F5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D25504" w:rsidRDefault="00D25504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D25504" w:rsidRPr="004E7FF0" w:rsidRDefault="00D25504" w:rsidP="0065715B">
      <w:pPr>
        <w:pStyle w:val="NormalWeb"/>
        <w:spacing w:line="276" w:lineRule="auto"/>
        <w:ind w:firstLine="567"/>
        <w:jc w:val="both"/>
        <w:rPr>
          <w:rFonts w:ascii="Tahoma" w:hAnsi="Tahoma" w:cs="Tahoma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3120F8">
        <w:rPr>
          <w:rFonts w:ascii="Tahoma" w:eastAsia="Times New Roman" w:hAnsi="Tahoma" w:cs="Tahoma"/>
          <w:color w:val="000000" w:themeColor="text1"/>
          <w:sz w:val="22"/>
          <w:szCs w:val="22"/>
        </w:rPr>
        <w:t>10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A51A3">
        <w:rPr>
          <w:rFonts w:ascii="Tahoma" w:eastAsia="Times New Roman" w:hAnsi="Tahoma" w:cs="Tahoma"/>
          <w:color w:val="000000" w:themeColor="text1"/>
          <w:sz w:val="22"/>
          <w:szCs w:val="22"/>
        </w:rPr>
        <w:t>outu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E31CCE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26063D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276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5A8" w:rsidRDefault="002315A8">
      <w:pPr>
        <w:spacing w:after="0" w:line="240" w:lineRule="auto"/>
      </w:pPr>
      <w:r>
        <w:separator/>
      </w:r>
    </w:p>
  </w:endnote>
  <w:endnote w:type="continuationSeparator" w:id="1">
    <w:p w:rsidR="002315A8" w:rsidRDefault="002315A8">
      <w:pPr>
        <w:spacing w:after="0" w:line="240" w:lineRule="auto"/>
      </w:pPr>
      <w:r>
        <w:continuationSeparator/>
      </w:r>
    </w:p>
  </w:endnote>
  <w:endnote w:type="continuationNotice" w:id="2">
    <w:p w:rsidR="002315A8" w:rsidRDefault="002315A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2315A8" w:rsidTr="17F4C8A1">
      <w:trPr>
        <w:trHeight w:val="300"/>
      </w:trPr>
      <w:tc>
        <w:tcPr>
          <w:tcW w:w="3005" w:type="dxa"/>
        </w:tcPr>
        <w:p w:rsidR="002315A8" w:rsidRDefault="002315A8" w:rsidP="17F4C8A1">
          <w:pPr>
            <w:pStyle w:val="Cabealho"/>
            <w:ind w:left="-115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jc w:val="center"/>
          </w:pPr>
        </w:p>
      </w:tc>
      <w:tc>
        <w:tcPr>
          <w:tcW w:w="3005" w:type="dxa"/>
        </w:tcPr>
        <w:p w:rsidR="002315A8" w:rsidRDefault="002315A8" w:rsidP="17F4C8A1">
          <w:pPr>
            <w:pStyle w:val="Cabealho"/>
            <w:ind w:right="-115"/>
            <w:jc w:val="right"/>
          </w:pPr>
        </w:p>
      </w:tc>
    </w:tr>
  </w:tbl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2315A8" w:rsidRPr="00A63146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2315A8" w:rsidRPr="001E03A2" w:rsidRDefault="002315A8" w:rsidP="001D77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2315A8" w:rsidRDefault="002315A8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5A8" w:rsidRDefault="002315A8">
      <w:pPr>
        <w:spacing w:after="0" w:line="240" w:lineRule="auto"/>
      </w:pPr>
      <w:r>
        <w:separator/>
      </w:r>
    </w:p>
  </w:footnote>
  <w:footnote w:type="continuationSeparator" w:id="1">
    <w:p w:rsidR="002315A8" w:rsidRDefault="002315A8">
      <w:pPr>
        <w:spacing w:after="0" w:line="240" w:lineRule="auto"/>
      </w:pPr>
      <w:r>
        <w:continuationSeparator/>
      </w:r>
    </w:p>
  </w:footnote>
  <w:footnote w:type="continuationNotice" w:id="2">
    <w:p w:rsidR="002315A8" w:rsidRDefault="002315A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2315A8" w:rsidTr="2EF02BE8">
      <w:trPr>
        <w:trHeight w:val="300"/>
      </w:trPr>
      <w:tc>
        <w:tcPr>
          <w:tcW w:w="4650" w:type="dxa"/>
        </w:tcPr>
        <w:p w:rsidR="002315A8" w:rsidRDefault="002315A8" w:rsidP="2EF02BE8">
          <w:pPr>
            <w:pStyle w:val="Cabealho"/>
            <w:ind w:left="-115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jc w:val="center"/>
          </w:pPr>
        </w:p>
      </w:tc>
      <w:tc>
        <w:tcPr>
          <w:tcW w:w="4650" w:type="dxa"/>
        </w:tcPr>
        <w:p w:rsidR="002315A8" w:rsidRDefault="002315A8" w:rsidP="2EF02BE8">
          <w:pPr>
            <w:pStyle w:val="Cabealho"/>
            <w:ind w:right="-115"/>
            <w:jc w:val="right"/>
          </w:pPr>
        </w:p>
      </w:tc>
    </w:tr>
  </w:tbl>
  <w:p w:rsidR="002315A8" w:rsidRDefault="002315A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5A8" w:rsidRDefault="002315A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2315A8" w:rsidTr="00B6042D">
      <w:trPr>
        <w:trHeight w:val="1005"/>
        <w:jc w:val="center"/>
      </w:trPr>
      <w:tc>
        <w:tcPr>
          <w:tcW w:w="922" w:type="dxa"/>
        </w:tcPr>
        <w:p w:rsidR="002315A8" w:rsidRDefault="002315A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2315A8" w:rsidRPr="00B6042D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2315A8" w:rsidRDefault="002315A8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2315A8" w:rsidRPr="00617600" w:rsidRDefault="002315A8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  <w:p w:rsidR="002315A8" w:rsidRDefault="002315A8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2315A8" w:rsidRDefault="002315A8" w:rsidP="0026063D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0256C7"/>
    <w:multiLevelType w:val="multilevel"/>
    <w:tmpl w:val="9B34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405B06"/>
    <w:multiLevelType w:val="multilevel"/>
    <w:tmpl w:val="7722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13916"/>
    <w:rsid w:val="00035428"/>
    <w:rsid w:val="0003548E"/>
    <w:rsid w:val="00052D8E"/>
    <w:rsid w:val="00054265"/>
    <w:rsid w:val="00061687"/>
    <w:rsid w:val="000639DC"/>
    <w:rsid w:val="0007D051"/>
    <w:rsid w:val="00090EAE"/>
    <w:rsid w:val="00097064"/>
    <w:rsid w:val="000A09A8"/>
    <w:rsid w:val="000A51A3"/>
    <w:rsid w:val="000A6FF8"/>
    <w:rsid w:val="000B55B0"/>
    <w:rsid w:val="000D13C1"/>
    <w:rsid w:val="000E47AA"/>
    <w:rsid w:val="00115186"/>
    <w:rsid w:val="00133414"/>
    <w:rsid w:val="001366D8"/>
    <w:rsid w:val="00142600"/>
    <w:rsid w:val="00154F4A"/>
    <w:rsid w:val="001629AF"/>
    <w:rsid w:val="0016365D"/>
    <w:rsid w:val="00166B4D"/>
    <w:rsid w:val="0017175C"/>
    <w:rsid w:val="00175613"/>
    <w:rsid w:val="00193549"/>
    <w:rsid w:val="001C2444"/>
    <w:rsid w:val="001D776D"/>
    <w:rsid w:val="001E6DE5"/>
    <w:rsid w:val="001F00DB"/>
    <w:rsid w:val="001F00E8"/>
    <w:rsid w:val="0021371A"/>
    <w:rsid w:val="002315A8"/>
    <w:rsid w:val="002413CF"/>
    <w:rsid w:val="00241B5C"/>
    <w:rsid w:val="002446BA"/>
    <w:rsid w:val="0024F596"/>
    <w:rsid w:val="0025316D"/>
    <w:rsid w:val="002544FF"/>
    <w:rsid w:val="0026063D"/>
    <w:rsid w:val="0027356A"/>
    <w:rsid w:val="00274EF5"/>
    <w:rsid w:val="00290C18"/>
    <w:rsid w:val="00297C7E"/>
    <w:rsid w:val="002B7763"/>
    <w:rsid w:val="00300683"/>
    <w:rsid w:val="0030528B"/>
    <w:rsid w:val="003120F8"/>
    <w:rsid w:val="003521A9"/>
    <w:rsid w:val="0037086E"/>
    <w:rsid w:val="003952BD"/>
    <w:rsid w:val="003B262D"/>
    <w:rsid w:val="003E27B1"/>
    <w:rsid w:val="003F7EA3"/>
    <w:rsid w:val="004254F5"/>
    <w:rsid w:val="00462399"/>
    <w:rsid w:val="00472FD9"/>
    <w:rsid w:val="00480806"/>
    <w:rsid w:val="004818A1"/>
    <w:rsid w:val="00483851"/>
    <w:rsid w:val="00491C80"/>
    <w:rsid w:val="004974CA"/>
    <w:rsid w:val="004B7293"/>
    <w:rsid w:val="004C088F"/>
    <w:rsid w:val="004D6BBD"/>
    <w:rsid w:val="004D70D3"/>
    <w:rsid w:val="004E7FF0"/>
    <w:rsid w:val="004F5BCC"/>
    <w:rsid w:val="005032F1"/>
    <w:rsid w:val="00513098"/>
    <w:rsid w:val="00517ED6"/>
    <w:rsid w:val="00531033"/>
    <w:rsid w:val="00550B65"/>
    <w:rsid w:val="00593F77"/>
    <w:rsid w:val="005954A2"/>
    <w:rsid w:val="0059603D"/>
    <w:rsid w:val="005A5F7D"/>
    <w:rsid w:val="005B3098"/>
    <w:rsid w:val="005B6FC7"/>
    <w:rsid w:val="005C6561"/>
    <w:rsid w:val="005D78C8"/>
    <w:rsid w:val="005F61D3"/>
    <w:rsid w:val="006052E0"/>
    <w:rsid w:val="006062CA"/>
    <w:rsid w:val="00613259"/>
    <w:rsid w:val="00617600"/>
    <w:rsid w:val="006218E8"/>
    <w:rsid w:val="00634548"/>
    <w:rsid w:val="0065575F"/>
    <w:rsid w:val="00655A0E"/>
    <w:rsid w:val="0065715B"/>
    <w:rsid w:val="006579A2"/>
    <w:rsid w:val="00664C81"/>
    <w:rsid w:val="00672549"/>
    <w:rsid w:val="00685585"/>
    <w:rsid w:val="006954B9"/>
    <w:rsid w:val="006A0798"/>
    <w:rsid w:val="006B4461"/>
    <w:rsid w:val="006C6D16"/>
    <w:rsid w:val="006D6577"/>
    <w:rsid w:val="006F340B"/>
    <w:rsid w:val="006F556B"/>
    <w:rsid w:val="00752CEC"/>
    <w:rsid w:val="007A1383"/>
    <w:rsid w:val="007A37B4"/>
    <w:rsid w:val="007C1AE6"/>
    <w:rsid w:val="007D3B94"/>
    <w:rsid w:val="007D7323"/>
    <w:rsid w:val="007F2912"/>
    <w:rsid w:val="007F31FB"/>
    <w:rsid w:val="008010B7"/>
    <w:rsid w:val="008121D4"/>
    <w:rsid w:val="00846004"/>
    <w:rsid w:val="00851251"/>
    <w:rsid w:val="00852AD8"/>
    <w:rsid w:val="00857E8E"/>
    <w:rsid w:val="00865559"/>
    <w:rsid w:val="008A461A"/>
    <w:rsid w:val="008B1755"/>
    <w:rsid w:val="008B5A61"/>
    <w:rsid w:val="0090188D"/>
    <w:rsid w:val="00933039"/>
    <w:rsid w:val="0093567E"/>
    <w:rsid w:val="009823D8"/>
    <w:rsid w:val="0099531D"/>
    <w:rsid w:val="00995CC9"/>
    <w:rsid w:val="009C7AA4"/>
    <w:rsid w:val="009E5162"/>
    <w:rsid w:val="009F5E77"/>
    <w:rsid w:val="00A12778"/>
    <w:rsid w:val="00A1314F"/>
    <w:rsid w:val="00A413E5"/>
    <w:rsid w:val="00A610F0"/>
    <w:rsid w:val="00A67678"/>
    <w:rsid w:val="00A739BF"/>
    <w:rsid w:val="00A74361"/>
    <w:rsid w:val="00A94D43"/>
    <w:rsid w:val="00AC08AA"/>
    <w:rsid w:val="00AE1465"/>
    <w:rsid w:val="00AE25ED"/>
    <w:rsid w:val="00AE4985"/>
    <w:rsid w:val="00AE4AC2"/>
    <w:rsid w:val="00AE6A24"/>
    <w:rsid w:val="00AE7956"/>
    <w:rsid w:val="00AF0E5C"/>
    <w:rsid w:val="00B00430"/>
    <w:rsid w:val="00B05073"/>
    <w:rsid w:val="00B14FF5"/>
    <w:rsid w:val="00B15498"/>
    <w:rsid w:val="00B530DB"/>
    <w:rsid w:val="00B6042D"/>
    <w:rsid w:val="00B6593B"/>
    <w:rsid w:val="00B674E2"/>
    <w:rsid w:val="00B74C4B"/>
    <w:rsid w:val="00B75171"/>
    <w:rsid w:val="00B75520"/>
    <w:rsid w:val="00B82A70"/>
    <w:rsid w:val="00B940AE"/>
    <w:rsid w:val="00B974CE"/>
    <w:rsid w:val="00BB7341"/>
    <w:rsid w:val="00BE2B72"/>
    <w:rsid w:val="00BF1152"/>
    <w:rsid w:val="00C10CE3"/>
    <w:rsid w:val="00C362D7"/>
    <w:rsid w:val="00C37FD2"/>
    <w:rsid w:val="00C42405"/>
    <w:rsid w:val="00C62D3E"/>
    <w:rsid w:val="00C6445F"/>
    <w:rsid w:val="00C65043"/>
    <w:rsid w:val="00C83B00"/>
    <w:rsid w:val="00CA7273"/>
    <w:rsid w:val="00CD40DC"/>
    <w:rsid w:val="00CF09BD"/>
    <w:rsid w:val="00CF11F5"/>
    <w:rsid w:val="00D03E13"/>
    <w:rsid w:val="00D11A5C"/>
    <w:rsid w:val="00D16CF0"/>
    <w:rsid w:val="00D17908"/>
    <w:rsid w:val="00D20A60"/>
    <w:rsid w:val="00D20B3D"/>
    <w:rsid w:val="00D25504"/>
    <w:rsid w:val="00D32D37"/>
    <w:rsid w:val="00D67CF7"/>
    <w:rsid w:val="00D87DB0"/>
    <w:rsid w:val="00DB4BE6"/>
    <w:rsid w:val="00DC753D"/>
    <w:rsid w:val="00DD017E"/>
    <w:rsid w:val="00DE167E"/>
    <w:rsid w:val="00E04C8E"/>
    <w:rsid w:val="00E31CCE"/>
    <w:rsid w:val="00E80DFA"/>
    <w:rsid w:val="00E80E8B"/>
    <w:rsid w:val="00E938AA"/>
    <w:rsid w:val="00EA6E88"/>
    <w:rsid w:val="00EC0C72"/>
    <w:rsid w:val="00EC3C66"/>
    <w:rsid w:val="00EDCCB4"/>
    <w:rsid w:val="00EE473C"/>
    <w:rsid w:val="00EE595B"/>
    <w:rsid w:val="00EF5D91"/>
    <w:rsid w:val="00F218A1"/>
    <w:rsid w:val="00F25575"/>
    <w:rsid w:val="00F32976"/>
    <w:rsid w:val="00F36C90"/>
    <w:rsid w:val="00F474A8"/>
    <w:rsid w:val="00F616B2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5"/>
        <o:r id="V:Rule6" type="connector" idref="#_x0000_s2064"/>
        <o:r id="V:Rule7" type="connector" idref="#_x0000_s2063"/>
        <o:r id="V:Rule8" type="connector" idref="#_x0000_s20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6C6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6C6D16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121D4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6063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C9E44-6277-4DFE-9206-5DB199138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847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2025-10-02T19:50:00Z</cp:lastPrinted>
  <dcterms:created xsi:type="dcterms:W3CDTF">2025-10-10T19:43:00Z</dcterms:created>
  <dcterms:modified xsi:type="dcterms:W3CDTF">2025-10-10T19:43:00Z</dcterms:modified>
</cp:coreProperties>
</file>