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655A0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E73579" w:rsidRDefault="09F74ADB" w:rsidP="00E73579">
      <w:pPr>
        <w:widowControl w:val="0"/>
        <w:spacing w:line="240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E7357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E73579" w:rsidRPr="00E73579">
        <w:rPr>
          <w:rStyle w:val="Forte"/>
          <w:rFonts w:ascii="Tahoma" w:hAnsi="Tahoma" w:cs="Tahoma"/>
          <w:sz w:val="18"/>
          <w:szCs w:val="18"/>
        </w:rPr>
        <w:t>Gestão do Grupo Executivo para o Crescimento Ordenado e Preservação das Áreas Verdes</w:t>
      </w:r>
      <w:r w:rsidR="00E73579">
        <w:rPr>
          <w:rStyle w:val="Forte"/>
          <w:rFonts w:ascii="Tahoma" w:hAnsi="Tahoma" w:cs="Tahoma"/>
          <w:sz w:val="18"/>
          <w:szCs w:val="18"/>
        </w:rPr>
        <w:t xml:space="preserve"> – GECOPAV -</w:t>
      </w:r>
      <w:r w:rsidR="00E73579" w:rsidRPr="00E73579">
        <w:rPr>
          <w:rStyle w:val="Forte"/>
          <w:rFonts w:ascii="Tahoma" w:hAnsi="Tahoma" w:cs="Tahoma"/>
          <w:sz w:val="18"/>
          <w:szCs w:val="18"/>
        </w:rPr>
        <w:t xml:space="preserve"> Implantado e Mantido</w:t>
      </w:r>
      <w:proofErr w:type="gramStart"/>
      <w:r w:rsidR="00E73579" w:rsidRPr="00E73579">
        <w:rPr>
          <w:rFonts w:ascii="Tahoma" w:hAnsi="Tahoma" w:cs="Tahoma"/>
          <w:sz w:val="18"/>
          <w:szCs w:val="18"/>
        </w:rPr>
        <w:t xml:space="preserve"> </w:t>
      </w:r>
      <w:r w:rsidR="00EA6E88"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proofErr w:type="gramEnd"/>
      <w:r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C362D7"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</w:t>
      </w:r>
      <w:r w:rsidR="00A413E5" w:rsidRPr="00E73579">
        <w:rPr>
          <w:rFonts w:ascii="Tahoma" w:hAnsi="Tahoma" w:cs="Tahoma"/>
          <w:b/>
          <w:sz w:val="18"/>
          <w:szCs w:val="18"/>
        </w:rPr>
        <w:t xml:space="preserve">0132 - </w:t>
      </w:r>
      <w:proofErr w:type="spellStart"/>
      <w:r w:rsidR="00A413E5" w:rsidRPr="00E73579">
        <w:rPr>
          <w:rFonts w:ascii="Tahoma" w:hAnsi="Tahoma" w:cs="Tahoma"/>
          <w:b/>
          <w:sz w:val="18"/>
          <w:szCs w:val="18"/>
        </w:rPr>
        <w:t>Resiliência</w:t>
      </w:r>
      <w:proofErr w:type="spellEnd"/>
      <w:r w:rsidR="00A413E5" w:rsidRPr="00E73579">
        <w:rPr>
          <w:rFonts w:ascii="Tahoma" w:hAnsi="Tahoma" w:cs="Tahoma"/>
          <w:b/>
          <w:sz w:val="18"/>
          <w:szCs w:val="18"/>
        </w:rPr>
        <w:t xml:space="preserve"> a Desastres e Adaptação às Mudanças Climáticas</w:t>
      </w:r>
      <w:r w:rsidRPr="00E7357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E7357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C10CE3" w:rsidRDefault="7DEE9414" w:rsidP="00664C81">
      <w:pPr>
        <w:pStyle w:val="normal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C10CE3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C10CE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E73579" w:rsidRPr="00E73579">
        <w:rPr>
          <w:rStyle w:val="Forte"/>
          <w:rFonts w:ascii="Tahoma" w:hAnsi="Tahoma" w:cs="Tahoma"/>
          <w:sz w:val="18"/>
          <w:szCs w:val="18"/>
        </w:rPr>
        <w:t>Gestão do Grupo Executivo para o Crescimento Ordenado e Preservação das Áreas Verdes</w:t>
      </w:r>
      <w:r w:rsidR="00E73579">
        <w:rPr>
          <w:rStyle w:val="Forte"/>
          <w:rFonts w:ascii="Tahoma" w:hAnsi="Tahoma" w:cs="Tahoma"/>
          <w:sz w:val="18"/>
          <w:szCs w:val="18"/>
        </w:rPr>
        <w:t xml:space="preserve"> – GECOPAV -</w:t>
      </w:r>
      <w:r w:rsidR="00E73579" w:rsidRPr="00E73579">
        <w:rPr>
          <w:rStyle w:val="Forte"/>
          <w:rFonts w:ascii="Tahoma" w:hAnsi="Tahoma" w:cs="Tahoma"/>
          <w:sz w:val="18"/>
          <w:szCs w:val="18"/>
        </w:rPr>
        <w:t xml:space="preserve"> Implantado e Mantido</w:t>
      </w:r>
      <w:proofErr w:type="gramStart"/>
      <w:r w:rsidR="00E73579" w:rsidRPr="00E73579">
        <w:rPr>
          <w:rFonts w:ascii="Tahoma" w:hAnsi="Tahoma" w:cs="Tahoma"/>
          <w:sz w:val="18"/>
          <w:szCs w:val="18"/>
        </w:rPr>
        <w:t xml:space="preserve"> </w:t>
      </w:r>
      <w:r w:rsidR="00E73579" w:rsidRPr="00E7357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proofErr w:type="gramEnd"/>
      <w:r w:rsidR="00097064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2315A8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097064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A413E5" w:rsidRPr="00C10CE3">
        <w:rPr>
          <w:rFonts w:ascii="Tahoma" w:hAnsi="Tahoma" w:cs="Tahoma"/>
          <w:b/>
          <w:sz w:val="18"/>
          <w:szCs w:val="18"/>
        </w:rPr>
        <w:t xml:space="preserve">0132 - </w:t>
      </w:r>
      <w:proofErr w:type="spellStart"/>
      <w:r w:rsidR="00A413E5" w:rsidRPr="00C10CE3">
        <w:rPr>
          <w:rFonts w:ascii="Tahoma" w:hAnsi="Tahoma" w:cs="Tahoma"/>
          <w:b/>
          <w:sz w:val="18"/>
          <w:szCs w:val="18"/>
        </w:rPr>
        <w:t>Resiliência</w:t>
      </w:r>
      <w:proofErr w:type="spellEnd"/>
      <w:r w:rsidR="00A413E5" w:rsidRPr="00C10CE3">
        <w:rPr>
          <w:rFonts w:ascii="Tahoma" w:hAnsi="Tahoma" w:cs="Tahoma"/>
          <w:b/>
          <w:sz w:val="18"/>
          <w:szCs w:val="18"/>
        </w:rPr>
        <w:t xml:space="preserve"> a Desastres e Adaptação às Mudanças Climáticas</w:t>
      </w:r>
      <w:r w:rsidR="00097064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C10CE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C10CE3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C10CE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130"/>
        <w:gridCol w:w="925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65715B" w:rsidRDefault="00A413E5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A413E5">
              <w:rPr>
                <w:rFonts w:ascii="Tahoma" w:hAnsi="Tahoma" w:cs="Tahoma"/>
                <w:b/>
                <w:sz w:val="18"/>
                <w:szCs w:val="18"/>
              </w:rPr>
              <w:t>Resiliência</w:t>
            </w:r>
            <w:proofErr w:type="spellEnd"/>
            <w:r w:rsidRPr="00A413E5">
              <w:rPr>
                <w:rFonts w:ascii="Tahoma" w:hAnsi="Tahoma" w:cs="Tahoma"/>
                <w:b/>
                <w:sz w:val="18"/>
                <w:szCs w:val="18"/>
              </w:rPr>
              <w:t xml:space="preserve"> a Desastres e Adaptação às Mudanças Climáticas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E73579" w:rsidRDefault="00E73579" w:rsidP="20FF0B1A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E73579">
              <w:rPr>
                <w:rStyle w:val="Forte"/>
                <w:rFonts w:ascii="Tahoma" w:hAnsi="Tahoma" w:cs="Tahoma"/>
                <w:sz w:val="16"/>
                <w:szCs w:val="16"/>
              </w:rPr>
              <w:t>Gestão do Grupo Executivo para o Crescimento Ordenado e Preservação das Áreas Verdes – GECOPAV - Implantado e Mantido</w:t>
            </w:r>
            <w:r w:rsidRPr="00E7357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73579">
              <w:rPr>
                <w:rFonts w:ascii="Tahoma" w:eastAsia="Times New Roman" w:hAnsi="Tahoma" w:cs="Tahoma"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7F2912" w:rsidRPr="006579A2" w:rsidTr="002315A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3B262D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2B3512" w:rsidRDefault="00E73579" w:rsidP="0026063D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B3512">
              <w:rPr>
                <w:rFonts w:ascii="Tahoma" w:hAnsi="Tahoma" w:cs="Tahoma"/>
                <w:sz w:val="16"/>
                <w:szCs w:val="16"/>
              </w:rPr>
              <w:t xml:space="preserve">Implantar e manter ações permanentes de gestão, monitoramento e controle territorial do </w:t>
            </w:r>
            <w:r w:rsidRPr="002B3512">
              <w:rPr>
                <w:rStyle w:val="Forte"/>
                <w:rFonts w:ascii="Tahoma" w:hAnsi="Tahoma" w:cs="Tahoma"/>
                <w:sz w:val="16"/>
                <w:szCs w:val="16"/>
              </w:rPr>
              <w:t>Grupo Executivo para o Crescimento Ordenado e Preservação das Áreas Verdes – GECOPAV</w:t>
            </w:r>
            <w:r w:rsidRPr="002B3512">
              <w:rPr>
                <w:rFonts w:ascii="Tahoma" w:hAnsi="Tahoma" w:cs="Tahoma"/>
                <w:sz w:val="16"/>
                <w:szCs w:val="16"/>
              </w:rPr>
              <w:t xml:space="preserve">, assegurando a </w:t>
            </w:r>
            <w:r w:rsidRPr="002B3512">
              <w:rPr>
                <w:rStyle w:val="Forte"/>
                <w:rFonts w:ascii="Tahoma" w:hAnsi="Tahoma" w:cs="Tahoma"/>
                <w:sz w:val="16"/>
                <w:szCs w:val="16"/>
              </w:rPr>
              <w:t>prevenção e coibição de construções irregulares, ocupações em áreas de risco e invasões em unidades de conservação e zonas de proteção ambiental</w:t>
            </w:r>
            <w:r w:rsidRPr="002B3512">
              <w:rPr>
                <w:rFonts w:ascii="Tahoma" w:hAnsi="Tahoma" w:cs="Tahoma"/>
                <w:sz w:val="16"/>
                <w:szCs w:val="16"/>
              </w:rPr>
              <w:t>, mediante integração entre órgãos municipais, uso de geotecnologia, fiscalização e ações educativas junto à população.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C10CE3" w:rsidP="005D78C8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t>SMCDCR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A7273" w:rsidRDefault="00C10CE3" w:rsidP="20FF0B1A">
            <w:pPr>
              <w:spacing w:after="0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F2912" w:rsidRPr="004D70D3" w:rsidTr="00C10CE3">
        <w:trPr>
          <w:trHeight w:val="332"/>
        </w:trPr>
        <w:tc>
          <w:tcPr>
            <w:tcW w:w="9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3E27B1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margin-left:40.8pt;margin-top:-5.4pt;width:0;height:123.25pt;z-index:251676672;mso-position-horizontal-relative:text;mso-position-vertical-relative:text" o:connectortype="straight"/>
              </w:pict>
            </w:r>
            <w:r w:rsidR="007F2912"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DC753D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1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3E27B1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3" type="#_x0000_t32" style="position:absolute;left:0;text-align:left;margin-left:50.25pt;margin-top:3.95pt;width:.8pt;height:96pt;flip:x;z-index:251673600;mso-position-horizontal-relative:text;mso-position-vertical-relative:text" o:connectortype="straight"/>
              </w:pict>
            </w:r>
            <w:r w:rsidR="00C362D7"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6063D">
              <w:rPr>
                <w:rFonts w:ascii="Tahoma" w:hAnsi="Tahoma" w:cs="Tahoma"/>
                <w:sz w:val="16"/>
                <w:szCs w:val="16"/>
              </w:rPr>
              <w:t>4</w:t>
            </w:r>
            <w:r w:rsidR="00C362D7" w:rsidRPr="00C10CE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E73579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E73579">
              <w:rPr>
                <w:rFonts w:ascii="Tahoma" w:hAnsi="Tahoma" w:cs="Tahoma"/>
                <w:sz w:val="16"/>
                <w:szCs w:val="16"/>
              </w:rPr>
              <w:t>15</w:t>
            </w:r>
            <w:r w:rsidRPr="00C10CE3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3E27B1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26063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E73579">
              <w:rPr>
                <w:rFonts w:ascii="Tahoma" w:hAnsi="Tahoma" w:cs="Tahoma"/>
                <w:sz w:val="16"/>
                <w:szCs w:val="16"/>
              </w:rPr>
              <w:t>15</w:t>
            </w:r>
            <w:r w:rsidR="00E73579" w:rsidRPr="00C10CE3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3E27B1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26063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E73579">
              <w:rPr>
                <w:rFonts w:ascii="Tahoma" w:hAnsi="Tahoma" w:cs="Tahoma"/>
                <w:sz w:val="16"/>
                <w:szCs w:val="16"/>
              </w:rPr>
              <w:t>15</w:t>
            </w:r>
            <w:r w:rsidR="00E73579" w:rsidRPr="00C10CE3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5D78C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E73579">
              <w:rPr>
                <w:rFonts w:ascii="Tahoma" w:hAnsi="Tahoma" w:cs="Tahoma"/>
                <w:sz w:val="16"/>
                <w:szCs w:val="16"/>
              </w:rPr>
              <w:t>15</w:t>
            </w:r>
            <w:r w:rsidR="00E73579" w:rsidRPr="00C10CE3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4E7FF0" w:rsidRDefault="004E7FF0" w:rsidP="004E7FF0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811B66" w:rsidRDefault="00C10CE3" w:rsidP="002315A8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43DE1">
              <w:rPr>
                <w:rFonts w:ascii="Tahoma" w:hAnsi="Tahoma" w:cs="Tahoma"/>
                <w:sz w:val="18"/>
                <w:szCs w:val="18"/>
              </w:rPr>
              <w:t>0140 | Justiça, Cidadania e Diversidade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E7357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26063D">
              <w:rPr>
                <w:rFonts w:ascii="Tahoma" w:hAnsi="Tahoma" w:cs="Tahoma"/>
                <w:sz w:val="16"/>
                <w:szCs w:val="16"/>
              </w:rPr>
              <w:t xml:space="preserve"> 1.</w:t>
            </w:r>
            <w:r w:rsidR="00E73579">
              <w:rPr>
                <w:rFonts w:ascii="Tahoma" w:hAnsi="Tahoma" w:cs="Tahoma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E31CCE" w:rsidRPr="0065715B" w:rsidRDefault="00D25504" w:rsidP="004E7FF0">
      <w:pPr>
        <w:widowControl w:val="0"/>
        <w:spacing w:after="0" w:line="276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t>J</w:t>
      </w:r>
      <w:r w:rsidR="6EB48AD2" w:rsidRPr="0065715B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t xml:space="preserve">USTIFICATIVA: </w:t>
      </w:r>
    </w:p>
    <w:p w:rsidR="00D342C6" w:rsidRPr="00AD6C40" w:rsidRDefault="00D342C6" w:rsidP="00D342C6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D6C40">
        <w:rPr>
          <w:rFonts w:ascii="Tahoma" w:hAnsi="Tahoma" w:cs="Tahoma"/>
          <w:sz w:val="22"/>
          <w:szCs w:val="22"/>
        </w:rPr>
        <w:lastRenderedPageBreak/>
        <w:t xml:space="preserve">A presente emenda visa responder à necessidade urgente de conteúdo técnico, normativo e administrativo para enfrentar o avanço de construções irregulares e invasões em áreas de risco e áreas verdes em Niterói, que apresentam riscos sanitários, ambientais e sociais. O município já identificou 258 áreas de risco, com 54 delas classificadas como de risco muito alto, abrigando </w:t>
      </w:r>
      <w:proofErr w:type="gramStart"/>
      <w:r w:rsidRPr="00AD6C40">
        <w:rPr>
          <w:rFonts w:ascii="Tahoma" w:hAnsi="Tahoma" w:cs="Tahoma"/>
          <w:sz w:val="22"/>
          <w:szCs w:val="22"/>
        </w:rPr>
        <w:t>cerca de 33</w:t>
      </w:r>
      <w:proofErr w:type="gramEnd"/>
      <w:r w:rsidRPr="00AD6C40">
        <w:rPr>
          <w:rFonts w:ascii="Tahoma" w:hAnsi="Tahoma" w:cs="Tahoma"/>
          <w:sz w:val="22"/>
          <w:szCs w:val="22"/>
        </w:rPr>
        <w:t xml:space="preserve"> mil moradores, o que reforça a gravidade da situação territorial e urgência de prevenção estruturada.</w:t>
      </w:r>
    </w:p>
    <w:p w:rsidR="00D342C6" w:rsidRPr="00AD6C40" w:rsidRDefault="008A3796" w:rsidP="00D342C6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D6C40">
        <w:rPr>
          <w:rFonts w:ascii="Tahoma" w:hAnsi="Tahoma" w:cs="Tahoma"/>
          <w:sz w:val="22"/>
          <w:szCs w:val="22"/>
        </w:rPr>
        <w:t xml:space="preserve">Visando </w:t>
      </w:r>
      <w:r w:rsidR="00D342C6" w:rsidRPr="00AD6C40">
        <w:rPr>
          <w:rStyle w:val="Forte"/>
          <w:rFonts w:ascii="Tahoma" w:hAnsi="Tahoma" w:cs="Tahoma"/>
          <w:sz w:val="22"/>
          <w:szCs w:val="22"/>
        </w:rPr>
        <w:t>assegurar a continuidade, estruturação e fortalecimento técnico-operacional do GECOPAV</w:t>
      </w:r>
      <w:r w:rsidR="00D342C6" w:rsidRPr="00AD6C40">
        <w:rPr>
          <w:rFonts w:ascii="Tahoma" w:hAnsi="Tahoma" w:cs="Tahoma"/>
          <w:sz w:val="22"/>
          <w:szCs w:val="22"/>
        </w:rPr>
        <w:t>,</w:t>
      </w:r>
      <w:r w:rsidRPr="00AD6C40">
        <w:rPr>
          <w:rFonts w:ascii="Tahoma" w:hAnsi="Tahoma" w:cs="Tahoma"/>
          <w:sz w:val="22"/>
          <w:szCs w:val="22"/>
        </w:rPr>
        <w:t xml:space="preserve"> do</w:t>
      </w:r>
      <w:r w:rsidR="00D342C6" w:rsidRPr="00AD6C40">
        <w:rPr>
          <w:rFonts w:ascii="Tahoma" w:hAnsi="Tahoma" w:cs="Tahoma"/>
          <w:sz w:val="22"/>
          <w:szCs w:val="22"/>
        </w:rPr>
        <w:t xml:space="preserve"> órgão criado pelo </w:t>
      </w:r>
      <w:r w:rsidR="00D342C6" w:rsidRPr="00AD6C40">
        <w:rPr>
          <w:rStyle w:val="Forte"/>
          <w:rFonts w:ascii="Tahoma" w:hAnsi="Tahoma" w:cs="Tahoma"/>
          <w:sz w:val="22"/>
          <w:szCs w:val="22"/>
        </w:rPr>
        <w:t>Decreto Municipal nº 12.197/2016</w:t>
      </w:r>
      <w:r w:rsidR="00D342C6" w:rsidRPr="00AD6C40">
        <w:rPr>
          <w:rFonts w:ascii="Tahoma" w:hAnsi="Tahoma" w:cs="Tahoma"/>
          <w:sz w:val="22"/>
          <w:szCs w:val="22"/>
        </w:rPr>
        <w:t xml:space="preserve">, vinculado ao Gabinete do Prefeito, e que atua de forma integrada com a </w:t>
      </w:r>
      <w:r w:rsidR="00D342C6" w:rsidRPr="00AD6C40">
        <w:rPr>
          <w:rStyle w:val="Forte"/>
          <w:rFonts w:ascii="Tahoma" w:hAnsi="Tahoma" w:cs="Tahoma"/>
          <w:sz w:val="22"/>
          <w:szCs w:val="22"/>
        </w:rPr>
        <w:t>Secretaria de Ordem Pública (SEOP)</w:t>
      </w:r>
      <w:r w:rsidR="00D342C6" w:rsidRPr="00AD6C40">
        <w:rPr>
          <w:rFonts w:ascii="Tahoma" w:hAnsi="Tahoma" w:cs="Tahoma"/>
          <w:sz w:val="22"/>
          <w:szCs w:val="22"/>
        </w:rPr>
        <w:t xml:space="preserve">, </w:t>
      </w:r>
      <w:r w:rsidR="00D342C6" w:rsidRPr="00AD6C40">
        <w:rPr>
          <w:rStyle w:val="Forte"/>
          <w:rFonts w:ascii="Tahoma" w:hAnsi="Tahoma" w:cs="Tahoma"/>
          <w:sz w:val="22"/>
          <w:szCs w:val="22"/>
        </w:rPr>
        <w:t>Secretaria Municipal de Urbanismo (SMU)</w:t>
      </w:r>
      <w:r w:rsidR="00D342C6" w:rsidRPr="00AD6C40">
        <w:rPr>
          <w:rFonts w:ascii="Tahoma" w:hAnsi="Tahoma" w:cs="Tahoma"/>
          <w:sz w:val="22"/>
          <w:szCs w:val="22"/>
        </w:rPr>
        <w:t xml:space="preserve">, </w:t>
      </w:r>
      <w:r w:rsidR="00D342C6" w:rsidRPr="00AD6C40">
        <w:rPr>
          <w:rStyle w:val="Forte"/>
          <w:rFonts w:ascii="Tahoma" w:hAnsi="Tahoma" w:cs="Tahoma"/>
          <w:sz w:val="22"/>
          <w:szCs w:val="22"/>
        </w:rPr>
        <w:t>Secretaria do Meio Ambiente, Recursos Hídricos e Sustentabilidade (SMARHS)</w:t>
      </w:r>
      <w:r w:rsidR="00D342C6" w:rsidRPr="00AD6C40">
        <w:rPr>
          <w:rFonts w:ascii="Tahoma" w:hAnsi="Tahoma" w:cs="Tahoma"/>
          <w:sz w:val="22"/>
          <w:szCs w:val="22"/>
        </w:rPr>
        <w:t xml:space="preserve">, </w:t>
      </w:r>
      <w:r w:rsidR="00D342C6" w:rsidRPr="00AD6C40">
        <w:rPr>
          <w:rStyle w:val="Forte"/>
          <w:rFonts w:ascii="Tahoma" w:hAnsi="Tahoma" w:cs="Tahoma"/>
          <w:sz w:val="22"/>
          <w:szCs w:val="22"/>
        </w:rPr>
        <w:t>Defesa Civil</w:t>
      </w:r>
      <w:r w:rsidR="00D342C6" w:rsidRPr="00AD6C40">
        <w:rPr>
          <w:rFonts w:ascii="Tahoma" w:hAnsi="Tahoma" w:cs="Tahoma"/>
          <w:sz w:val="22"/>
          <w:szCs w:val="22"/>
        </w:rPr>
        <w:t xml:space="preserve"> e </w:t>
      </w:r>
      <w:r w:rsidR="00D342C6" w:rsidRPr="00AD6C40">
        <w:rPr>
          <w:rStyle w:val="Forte"/>
          <w:rFonts w:ascii="Tahoma" w:hAnsi="Tahoma" w:cs="Tahoma"/>
          <w:sz w:val="22"/>
          <w:szCs w:val="22"/>
        </w:rPr>
        <w:t>Secretaria de Conservação e Serviços Públicos (SECONSER)</w:t>
      </w:r>
      <w:r w:rsidR="00D342C6" w:rsidRPr="00AD6C40">
        <w:rPr>
          <w:rFonts w:ascii="Tahoma" w:hAnsi="Tahoma" w:cs="Tahoma"/>
          <w:sz w:val="22"/>
          <w:szCs w:val="22"/>
        </w:rPr>
        <w:t>.</w:t>
      </w:r>
    </w:p>
    <w:p w:rsidR="008A3796" w:rsidRPr="00AD6C40" w:rsidRDefault="008A3796" w:rsidP="00D342C6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D6C40">
        <w:rPr>
          <w:rFonts w:ascii="Tahoma" w:hAnsi="Tahoma" w:cs="Tahoma"/>
          <w:sz w:val="22"/>
          <w:szCs w:val="22"/>
        </w:rPr>
        <w:t xml:space="preserve">O GECOPAV tem sido um instrumento fundamental na </w:t>
      </w:r>
      <w:r w:rsidRPr="00AD6C40">
        <w:rPr>
          <w:rStyle w:val="Forte"/>
          <w:rFonts w:ascii="Tahoma" w:hAnsi="Tahoma" w:cs="Tahoma"/>
          <w:sz w:val="22"/>
          <w:szCs w:val="22"/>
        </w:rPr>
        <w:t>gestão do território e proteção ambiental</w:t>
      </w:r>
      <w:r w:rsidRPr="00AD6C40">
        <w:rPr>
          <w:rFonts w:ascii="Tahoma" w:hAnsi="Tahoma" w:cs="Tahoma"/>
          <w:sz w:val="22"/>
          <w:szCs w:val="22"/>
        </w:rPr>
        <w:t xml:space="preserve"> de Niterói, atuando na </w:t>
      </w:r>
      <w:r w:rsidRPr="00AD6C40">
        <w:rPr>
          <w:rStyle w:val="Forte"/>
          <w:rFonts w:ascii="Tahoma" w:hAnsi="Tahoma" w:cs="Tahoma"/>
          <w:sz w:val="22"/>
          <w:szCs w:val="22"/>
        </w:rPr>
        <w:t>fiscalização, monitoramento e demolição de construções irregulares</w:t>
      </w:r>
      <w:r w:rsidRPr="00AD6C40">
        <w:rPr>
          <w:rFonts w:ascii="Tahoma" w:hAnsi="Tahoma" w:cs="Tahoma"/>
          <w:sz w:val="22"/>
          <w:szCs w:val="22"/>
        </w:rPr>
        <w:t xml:space="preserve"> em áreas de preservação permanente (</w:t>
      </w:r>
      <w:proofErr w:type="spellStart"/>
      <w:r w:rsidRPr="00AD6C40">
        <w:rPr>
          <w:rFonts w:ascii="Tahoma" w:hAnsi="Tahoma" w:cs="Tahoma"/>
          <w:sz w:val="22"/>
          <w:szCs w:val="22"/>
        </w:rPr>
        <w:t>APPs</w:t>
      </w:r>
      <w:proofErr w:type="spellEnd"/>
      <w:r w:rsidRPr="00AD6C40">
        <w:rPr>
          <w:rFonts w:ascii="Tahoma" w:hAnsi="Tahoma" w:cs="Tahoma"/>
          <w:sz w:val="22"/>
          <w:szCs w:val="22"/>
        </w:rPr>
        <w:t xml:space="preserve">), encostas e regiões suscetíveis a deslizamentos. Segundo informações oficiais da Prefeitura e reportagens dos portais </w:t>
      </w:r>
      <w:r w:rsidRPr="00AD6C40">
        <w:rPr>
          <w:rStyle w:val="nfase"/>
          <w:rFonts w:ascii="Tahoma" w:hAnsi="Tahoma" w:cs="Tahoma"/>
          <w:sz w:val="22"/>
          <w:szCs w:val="22"/>
        </w:rPr>
        <w:t>A Seguir Niterói</w:t>
      </w:r>
      <w:r w:rsidRPr="00AD6C40">
        <w:rPr>
          <w:rFonts w:ascii="Tahoma" w:hAnsi="Tahoma" w:cs="Tahoma"/>
          <w:sz w:val="22"/>
          <w:szCs w:val="22"/>
        </w:rPr>
        <w:t xml:space="preserve"> (2023), </w:t>
      </w:r>
      <w:r w:rsidRPr="00AD6C40">
        <w:rPr>
          <w:rStyle w:val="nfase"/>
          <w:rFonts w:ascii="Tahoma" w:hAnsi="Tahoma" w:cs="Tahoma"/>
          <w:sz w:val="22"/>
          <w:szCs w:val="22"/>
        </w:rPr>
        <w:t>O Globo</w:t>
      </w:r>
      <w:r w:rsidRPr="00AD6C40">
        <w:rPr>
          <w:rFonts w:ascii="Tahoma" w:hAnsi="Tahoma" w:cs="Tahoma"/>
          <w:sz w:val="22"/>
          <w:szCs w:val="22"/>
        </w:rPr>
        <w:t xml:space="preserve"> (2024) e </w:t>
      </w:r>
      <w:r w:rsidRPr="00AD6C40">
        <w:rPr>
          <w:rStyle w:val="nfase"/>
          <w:rFonts w:ascii="Tahoma" w:hAnsi="Tahoma" w:cs="Tahoma"/>
          <w:sz w:val="22"/>
          <w:szCs w:val="22"/>
        </w:rPr>
        <w:t>A Tribuna RJ</w:t>
      </w:r>
      <w:r w:rsidRPr="00AD6C40">
        <w:rPr>
          <w:rFonts w:ascii="Tahoma" w:hAnsi="Tahoma" w:cs="Tahoma"/>
          <w:sz w:val="22"/>
          <w:szCs w:val="22"/>
        </w:rPr>
        <w:t xml:space="preserve"> (2025), o grupo já executou </w:t>
      </w:r>
      <w:r w:rsidRPr="00AD6C40">
        <w:rPr>
          <w:rStyle w:val="Forte"/>
          <w:rFonts w:ascii="Tahoma" w:hAnsi="Tahoma" w:cs="Tahoma"/>
          <w:sz w:val="22"/>
          <w:szCs w:val="22"/>
        </w:rPr>
        <w:t>mais de 150 demolições e embargos</w:t>
      </w:r>
      <w:r w:rsidRPr="00AD6C40">
        <w:rPr>
          <w:rFonts w:ascii="Tahoma" w:hAnsi="Tahoma" w:cs="Tahoma"/>
          <w:sz w:val="22"/>
          <w:szCs w:val="22"/>
        </w:rPr>
        <w:t xml:space="preserve"> de edificações ilegais em comunidades localizadas no </w:t>
      </w:r>
      <w:r w:rsidRPr="00AD6C40">
        <w:rPr>
          <w:rStyle w:val="Forte"/>
          <w:rFonts w:ascii="Tahoma" w:hAnsi="Tahoma" w:cs="Tahoma"/>
          <w:sz w:val="22"/>
          <w:szCs w:val="22"/>
        </w:rPr>
        <w:t>Morro das Andorinhas, Sítio da Jaqueira, Charitas e Região Oceânica</w:t>
      </w:r>
      <w:r w:rsidRPr="00AD6C40">
        <w:rPr>
          <w:rFonts w:ascii="Tahoma" w:hAnsi="Tahoma" w:cs="Tahoma"/>
          <w:sz w:val="22"/>
          <w:szCs w:val="22"/>
        </w:rPr>
        <w:t xml:space="preserve">, consolidando-se como </w:t>
      </w:r>
      <w:r w:rsidRPr="00AD6C40">
        <w:rPr>
          <w:rStyle w:val="Forte"/>
          <w:rFonts w:ascii="Tahoma" w:hAnsi="Tahoma" w:cs="Tahoma"/>
          <w:sz w:val="22"/>
          <w:szCs w:val="22"/>
        </w:rPr>
        <w:t>referência em controle urbano e proteção das áreas verdes</w:t>
      </w:r>
      <w:r w:rsidRPr="00AD6C40">
        <w:rPr>
          <w:rFonts w:ascii="Tahoma" w:hAnsi="Tahoma" w:cs="Tahoma"/>
          <w:sz w:val="22"/>
          <w:szCs w:val="22"/>
        </w:rPr>
        <w:t>.</w:t>
      </w:r>
    </w:p>
    <w:p w:rsidR="008A3796" w:rsidRPr="00AD6C40" w:rsidRDefault="008A3796" w:rsidP="00D342C6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D6C40">
        <w:rPr>
          <w:rFonts w:ascii="Tahoma" w:hAnsi="Tahoma" w:cs="Tahoma"/>
          <w:sz w:val="22"/>
          <w:szCs w:val="22"/>
        </w:rPr>
        <w:t xml:space="preserve">Além das ações repressivas, o GECOPAV realiza </w:t>
      </w:r>
      <w:r w:rsidRPr="00AD6C40">
        <w:rPr>
          <w:rStyle w:val="Forte"/>
          <w:rFonts w:ascii="Tahoma" w:hAnsi="Tahoma" w:cs="Tahoma"/>
          <w:sz w:val="22"/>
          <w:szCs w:val="22"/>
        </w:rPr>
        <w:t>mapeamento georreferenciado</w:t>
      </w:r>
      <w:r w:rsidRPr="00AD6C40">
        <w:rPr>
          <w:rFonts w:ascii="Tahoma" w:hAnsi="Tahoma" w:cs="Tahoma"/>
          <w:sz w:val="22"/>
          <w:szCs w:val="22"/>
        </w:rPr>
        <w:t xml:space="preserve"> das áreas de risco e das zonas de expansão irregular, em articulação com o </w:t>
      </w:r>
      <w:r w:rsidRPr="00AD6C40">
        <w:rPr>
          <w:rStyle w:val="Forte"/>
          <w:rFonts w:ascii="Tahoma" w:hAnsi="Tahoma" w:cs="Tahoma"/>
          <w:sz w:val="22"/>
          <w:szCs w:val="22"/>
        </w:rPr>
        <w:t>Sistema DETEC</w:t>
      </w:r>
      <w:r w:rsidRPr="00AD6C40">
        <w:rPr>
          <w:rFonts w:ascii="Tahoma" w:hAnsi="Tahoma" w:cs="Tahoma"/>
          <w:sz w:val="22"/>
          <w:szCs w:val="22"/>
        </w:rPr>
        <w:t xml:space="preserve">, e participa de operações conjuntas com o </w:t>
      </w:r>
      <w:r w:rsidRPr="00AD6C40">
        <w:rPr>
          <w:rStyle w:val="Forte"/>
          <w:rFonts w:ascii="Tahoma" w:hAnsi="Tahoma" w:cs="Tahoma"/>
          <w:sz w:val="22"/>
          <w:szCs w:val="22"/>
        </w:rPr>
        <w:t>Ministério Público do Estado do Rio de Janeiro (MPRJ)</w:t>
      </w:r>
      <w:r w:rsidRPr="00AD6C40">
        <w:rPr>
          <w:rFonts w:ascii="Tahoma" w:hAnsi="Tahoma" w:cs="Tahoma"/>
          <w:sz w:val="22"/>
          <w:szCs w:val="22"/>
        </w:rPr>
        <w:t xml:space="preserve">, fortalecendo a </w:t>
      </w:r>
      <w:r w:rsidRPr="00AD6C40">
        <w:rPr>
          <w:rStyle w:val="Forte"/>
          <w:rFonts w:ascii="Tahoma" w:hAnsi="Tahoma" w:cs="Tahoma"/>
          <w:sz w:val="22"/>
          <w:szCs w:val="22"/>
        </w:rPr>
        <w:t>segurança jurídica e a coordenação interinstitucional</w:t>
      </w:r>
      <w:r w:rsidRPr="00AD6C40">
        <w:rPr>
          <w:rFonts w:ascii="Tahoma" w:hAnsi="Tahoma" w:cs="Tahoma"/>
          <w:sz w:val="22"/>
          <w:szCs w:val="22"/>
        </w:rPr>
        <w:t xml:space="preserve"> das medidas preventivas. </w:t>
      </w:r>
    </w:p>
    <w:p w:rsidR="008A3796" w:rsidRPr="00AD6C40" w:rsidRDefault="008A3796" w:rsidP="00D342C6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D6C40">
        <w:rPr>
          <w:rFonts w:ascii="Tahoma" w:hAnsi="Tahoma" w:cs="Tahoma"/>
          <w:sz w:val="22"/>
          <w:szCs w:val="22"/>
        </w:rPr>
        <w:t xml:space="preserve">A atuação integrada entre o poder público, os órgãos ambientais e a sociedade civil é essencial para conter o avanço de obras não autorizadas e a degradação de áreas de preservação — especialmente em uma cidade com </w:t>
      </w:r>
      <w:r w:rsidRPr="00AD6C40">
        <w:rPr>
          <w:rStyle w:val="Forte"/>
          <w:rFonts w:ascii="Tahoma" w:hAnsi="Tahoma" w:cs="Tahoma"/>
          <w:sz w:val="22"/>
          <w:szCs w:val="22"/>
        </w:rPr>
        <w:t>topografia acidentada, encostas ocupadas e crescente pressão imobiliária</w:t>
      </w:r>
      <w:r w:rsidRPr="00AD6C40">
        <w:rPr>
          <w:rFonts w:ascii="Tahoma" w:hAnsi="Tahoma" w:cs="Tahoma"/>
          <w:sz w:val="22"/>
          <w:szCs w:val="22"/>
        </w:rPr>
        <w:t>, como é o caso de Niterói.</w:t>
      </w:r>
    </w:p>
    <w:p w:rsidR="00AD6C40" w:rsidRPr="00AD6C40" w:rsidRDefault="008A3796" w:rsidP="00AD6C40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D6C40">
        <w:rPr>
          <w:rFonts w:ascii="Tahoma" w:hAnsi="Tahoma" w:cs="Tahoma"/>
          <w:sz w:val="22"/>
          <w:szCs w:val="22"/>
        </w:rPr>
        <w:t xml:space="preserve">O aprimoramento e a manutenção do GECOPAV estão plenamente amparados na </w:t>
      </w:r>
      <w:r w:rsidRPr="00AD6C40">
        <w:rPr>
          <w:rStyle w:val="Forte"/>
          <w:rFonts w:ascii="Tahoma" w:hAnsi="Tahoma" w:cs="Tahoma"/>
          <w:sz w:val="22"/>
          <w:szCs w:val="22"/>
        </w:rPr>
        <w:t>Lei Federal nº 12.608/2012</w:t>
      </w:r>
      <w:r w:rsidRPr="00AD6C40">
        <w:rPr>
          <w:rFonts w:ascii="Tahoma" w:hAnsi="Tahoma" w:cs="Tahoma"/>
          <w:sz w:val="22"/>
          <w:szCs w:val="22"/>
        </w:rPr>
        <w:t xml:space="preserve"> (Política Nacional de Proteção e Defesa Civil), que determina que os municípios </w:t>
      </w:r>
      <w:proofErr w:type="gramStart"/>
      <w:r w:rsidRPr="00AD6C40">
        <w:rPr>
          <w:rFonts w:ascii="Tahoma" w:hAnsi="Tahoma" w:cs="Tahoma"/>
          <w:sz w:val="22"/>
          <w:szCs w:val="22"/>
        </w:rPr>
        <w:t>devem</w:t>
      </w:r>
      <w:proofErr w:type="gramEnd"/>
      <w:r w:rsidRPr="00AD6C40">
        <w:rPr>
          <w:rFonts w:ascii="Tahoma" w:hAnsi="Tahoma" w:cs="Tahoma"/>
          <w:sz w:val="22"/>
          <w:szCs w:val="22"/>
        </w:rPr>
        <w:t xml:space="preserve"> prevenir desastres e manter atualizadas suas cartas de risco; no </w:t>
      </w:r>
      <w:r w:rsidRPr="00AD6C40">
        <w:rPr>
          <w:rStyle w:val="Forte"/>
          <w:rFonts w:ascii="Tahoma" w:hAnsi="Tahoma" w:cs="Tahoma"/>
          <w:sz w:val="22"/>
          <w:szCs w:val="22"/>
        </w:rPr>
        <w:t>Estatuto da Cidade (Lei nº 10.257/2001)</w:t>
      </w:r>
      <w:r w:rsidRPr="00AD6C40">
        <w:rPr>
          <w:rFonts w:ascii="Tahoma" w:hAnsi="Tahoma" w:cs="Tahoma"/>
          <w:sz w:val="22"/>
          <w:szCs w:val="22"/>
        </w:rPr>
        <w:t>, que estabelece a função social da propriedade e a necessidade de controle do uso e ocupação do solo;</w:t>
      </w:r>
      <w:r w:rsidR="00AD6C40" w:rsidRPr="00AD6C40">
        <w:rPr>
          <w:rFonts w:ascii="Tahoma" w:hAnsi="Tahoma" w:cs="Tahoma"/>
          <w:sz w:val="22"/>
          <w:szCs w:val="22"/>
        </w:rPr>
        <w:t xml:space="preserve"> </w:t>
      </w:r>
      <w:r w:rsidR="00AD6C40" w:rsidRPr="00AD6C40">
        <w:rPr>
          <w:rFonts w:ascii="Tahoma" w:hAnsi="Tahoma" w:cs="Tahoma"/>
          <w:sz w:val="22"/>
          <w:szCs w:val="22"/>
        </w:rPr>
        <w:lastRenderedPageBreak/>
        <w:t xml:space="preserve">No plano constitucional, o </w:t>
      </w:r>
      <w:r w:rsidR="00AD6C40" w:rsidRPr="00AD6C40">
        <w:rPr>
          <w:rStyle w:val="Forte"/>
          <w:rFonts w:ascii="Tahoma" w:hAnsi="Tahoma" w:cs="Tahoma"/>
          <w:sz w:val="22"/>
          <w:szCs w:val="22"/>
        </w:rPr>
        <w:t>art. 225 da Constituição Federal</w:t>
      </w:r>
      <w:r w:rsidR="00AD6C40" w:rsidRPr="00AD6C40">
        <w:rPr>
          <w:rFonts w:ascii="Tahoma" w:hAnsi="Tahoma" w:cs="Tahoma"/>
          <w:sz w:val="22"/>
          <w:szCs w:val="22"/>
        </w:rPr>
        <w:t xml:space="preserve"> impõe ao Poder Público o dever de preservar o meio ambiente, e o </w:t>
      </w:r>
      <w:r w:rsidR="00AD6C40" w:rsidRPr="00AD6C40">
        <w:rPr>
          <w:rStyle w:val="Forte"/>
          <w:rFonts w:ascii="Tahoma" w:hAnsi="Tahoma" w:cs="Tahoma"/>
          <w:sz w:val="22"/>
          <w:szCs w:val="22"/>
        </w:rPr>
        <w:t>art. 196</w:t>
      </w:r>
      <w:r w:rsidR="00AD6C40" w:rsidRPr="00AD6C40">
        <w:rPr>
          <w:rFonts w:ascii="Tahoma" w:hAnsi="Tahoma" w:cs="Tahoma"/>
          <w:sz w:val="22"/>
          <w:szCs w:val="22"/>
        </w:rPr>
        <w:t xml:space="preserve"> vincula saúde pública a políticas preventivas, o que inclui proteção contra riscos ambientais e desastres. Em âmbito internacional, a medida está alinhada ao </w:t>
      </w:r>
      <w:r w:rsidR="00AD6C40" w:rsidRPr="00AD6C40">
        <w:rPr>
          <w:rStyle w:val="Forte"/>
          <w:rFonts w:ascii="Tahoma" w:hAnsi="Tahoma" w:cs="Tahoma"/>
          <w:sz w:val="22"/>
          <w:szCs w:val="22"/>
        </w:rPr>
        <w:t xml:space="preserve">Marco de </w:t>
      </w:r>
      <w:proofErr w:type="spellStart"/>
      <w:r w:rsidR="00AD6C40" w:rsidRPr="00AD6C40">
        <w:rPr>
          <w:rStyle w:val="Forte"/>
          <w:rFonts w:ascii="Tahoma" w:hAnsi="Tahoma" w:cs="Tahoma"/>
          <w:sz w:val="22"/>
          <w:szCs w:val="22"/>
        </w:rPr>
        <w:t>Sendai</w:t>
      </w:r>
      <w:proofErr w:type="spellEnd"/>
      <w:r w:rsidR="00AD6C40" w:rsidRPr="00AD6C40">
        <w:rPr>
          <w:rStyle w:val="Forte"/>
          <w:rFonts w:ascii="Tahoma" w:hAnsi="Tahoma" w:cs="Tahoma"/>
          <w:sz w:val="22"/>
          <w:szCs w:val="22"/>
        </w:rPr>
        <w:t xml:space="preserve"> para Redução de Riscos de Desastres (ONU, 2015–2030)</w:t>
      </w:r>
      <w:r w:rsidR="00AD6C40" w:rsidRPr="00AD6C40">
        <w:rPr>
          <w:rFonts w:ascii="Tahoma" w:hAnsi="Tahoma" w:cs="Tahoma"/>
          <w:sz w:val="22"/>
          <w:szCs w:val="22"/>
        </w:rPr>
        <w:t>, que preconiza ações preventivas e estruturantes de governança territorial e ambiental.</w:t>
      </w:r>
    </w:p>
    <w:p w:rsidR="00AD6C40" w:rsidRPr="00AD6C40" w:rsidRDefault="00AD6C40" w:rsidP="008A3796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D6C40">
        <w:rPr>
          <w:rFonts w:ascii="Tahoma" w:hAnsi="Tahoma" w:cs="Tahoma"/>
          <w:sz w:val="22"/>
          <w:szCs w:val="22"/>
        </w:rPr>
        <w:t xml:space="preserve">O </w:t>
      </w:r>
      <w:r w:rsidRPr="00AD6C40">
        <w:rPr>
          <w:rStyle w:val="Forte"/>
          <w:rFonts w:ascii="Tahoma" w:hAnsi="Tahoma" w:cs="Tahoma"/>
          <w:sz w:val="22"/>
          <w:szCs w:val="22"/>
        </w:rPr>
        <w:t>Plano Diretor de Niterói (Lei nº 3.385/2019)</w:t>
      </w:r>
      <w:r w:rsidRPr="00AD6C40">
        <w:rPr>
          <w:rFonts w:ascii="Tahoma" w:hAnsi="Tahoma" w:cs="Tahoma"/>
          <w:sz w:val="22"/>
          <w:szCs w:val="22"/>
        </w:rPr>
        <w:t xml:space="preserve"> estabelece diretrizes para controle da expansão urbana, uso do solo sustentável e proteção das encostas e áreas frágeis, reforçando a competência do município de regular, planejar e vigiar o território</w:t>
      </w:r>
    </w:p>
    <w:p w:rsidR="008A3796" w:rsidRPr="00AD6C40" w:rsidRDefault="008A3796" w:rsidP="008A3796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D6C40">
        <w:rPr>
          <w:rFonts w:ascii="Tahoma" w:hAnsi="Tahoma" w:cs="Tahoma"/>
          <w:sz w:val="22"/>
          <w:szCs w:val="22"/>
        </w:rPr>
        <w:t xml:space="preserve">Assim, a inclusão deste produto no PPA 2026–2029 é </w:t>
      </w:r>
      <w:r w:rsidRPr="00AD6C40">
        <w:rPr>
          <w:rStyle w:val="Forte"/>
          <w:rFonts w:ascii="Tahoma" w:hAnsi="Tahoma" w:cs="Tahoma"/>
          <w:sz w:val="22"/>
          <w:szCs w:val="22"/>
        </w:rPr>
        <w:t>estratégica e indispensável</w:t>
      </w:r>
      <w:r w:rsidRPr="00AD6C40">
        <w:rPr>
          <w:rFonts w:ascii="Tahoma" w:hAnsi="Tahoma" w:cs="Tahoma"/>
          <w:sz w:val="22"/>
          <w:szCs w:val="22"/>
        </w:rPr>
        <w:t xml:space="preserve"> para garantir </w:t>
      </w:r>
      <w:r w:rsidRPr="00AD6C40">
        <w:rPr>
          <w:rStyle w:val="Forte"/>
          <w:rFonts w:ascii="Tahoma" w:hAnsi="Tahoma" w:cs="Tahoma"/>
          <w:sz w:val="22"/>
          <w:szCs w:val="22"/>
        </w:rPr>
        <w:t>continuidade institucional, suporte técnico e financiamento permanente</w:t>
      </w:r>
      <w:r w:rsidRPr="00AD6C40">
        <w:rPr>
          <w:rFonts w:ascii="Tahoma" w:hAnsi="Tahoma" w:cs="Tahoma"/>
          <w:sz w:val="22"/>
          <w:szCs w:val="22"/>
        </w:rPr>
        <w:t xml:space="preserve"> ao GECOPAV, permitindo-lhe atuar de forma planejada, preventiva e integrada</w:t>
      </w:r>
    </w:p>
    <w:p w:rsidR="008A3796" w:rsidRPr="00AD6C40" w:rsidRDefault="008A3796" w:rsidP="008A3796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D6C40">
        <w:rPr>
          <w:rFonts w:ascii="Tahoma" w:hAnsi="Tahoma" w:cs="Tahoma"/>
          <w:sz w:val="22"/>
          <w:szCs w:val="22"/>
        </w:rPr>
        <w:t xml:space="preserve">Essa medida contribui diretamente para </w:t>
      </w:r>
      <w:r w:rsidRPr="00AD6C40">
        <w:rPr>
          <w:rStyle w:val="Forte"/>
          <w:rFonts w:ascii="Tahoma" w:hAnsi="Tahoma" w:cs="Tahoma"/>
          <w:sz w:val="22"/>
          <w:szCs w:val="22"/>
        </w:rPr>
        <w:t>a proteção das vidas humanas, a preservação dos ecossistemas e a promoção do crescimento urbano ordenado</w:t>
      </w:r>
      <w:r w:rsidRPr="00AD6C40">
        <w:rPr>
          <w:rFonts w:ascii="Tahoma" w:hAnsi="Tahoma" w:cs="Tahoma"/>
          <w:sz w:val="22"/>
          <w:szCs w:val="22"/>
        </w:rPr>
        <w:t>, reafirmando o compromisso de Niterói com a sustentabilidade, o planejamento responsável e a governança territorial moderna.</w:t>
      </w:r>
    </w:p>
    <w:p w:rsidR="00D25504" w:rsidRPr="00AD6C40" w:rsidRDefault="008A3796" w:rsidP="0065715B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  <w:r w:rsidRPr="00AD6C40">
        <w:rPr>
          <w:rFonts w:ascii="Tahoma" w:hAnsi="Tahoma" w:cs="Tahoma"/>
          <w:sz w:val="22"/>
          <w:szCs w:val="22"/>
        </w:rPr>
        <w:t xml:space="preserve">Diante do exposto, </w:t>
      </w:r>
      <w:r w:rsidRPr="00AD6C40">
        <w:rPr>
          <w:rStyle w:val="Forte"/>
          <w:rFonts w:ascii="Tahoma" w:hAnsi="Tahoma" w:cs="Tahoma"/>
          <w:sz w:val="22"/>
          <w:szCs w:val="22"/>
        </w:rPr>
        <w:t>solicito o apoio dos Nobres Pares para a aprovação da presente emenda</w:t>
      </w:r>
      <w:r w:rsidRPr="00AD6C40">
        <w:rPr>
          <w:rFonts w:ascii="Tahoma" w:hAnsi="Tahoma" w:cs="Tahoma"/>
          <w:sz w:val="22"/>
          <w:szCs w:val="22"/>
        </w:rPr>
        <w:t>, assegurando a reserva orçamentária necessária à efetiva implantação e manutenção da Gestão do GECOPAV</w:t>
      </w:r>
    </w:p>
    <w:p w:rsidR="00D25504" w:rsidRPr="004E7FF0" w:rsidRDefault="00D25504" w:rsidP="0065715B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0A51A3">
        <w:rPr>
          <w:rFonts w:ascii="Tahoma" w:eastAsia="Times New Roman" w:hAnsi="Tahoma" w:cs="Tahoma"/>
          <w:color w:val="000000" w:themeColor="text1"/>
          <w:sz w:val="22"/>
          <w:szCs w:val="22"/>
        </w:rPr>
        <w:t>09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A51A3">
        <w:rPr>
          <w:rFonts w:ascii="Tahoma" w:eastAsia="Times New Roman" w:hAnsi="Tahoma" w:cs="Tahoma"/>
          <w:color w:val="000000" w:themeColor="text1"/>
          <w:sz w:val="22"/>
          <w:szCs w:val="22"/>
        </w:rPr>
        <w:t>outu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E31CCE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26063D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276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5A8" w:rsidRDefault="002315A8">
      <w:pPr>
        <w:spacing w:after="0" w:line="240" w:lineRule="auto"/>
      </w:pPr>
      <w:r>
        <w:separator/>
      </w:r>
    </w:p>
  </w:endnote>
  <w:endnote w:type="continuationSeparator" w:id="1">
    <w:p w:rsidR="002315A8" w:rsidRDefault="002315A8">
      <w:pPr>
        <w:spacing w:after="0" w:line="240" w:lineRule="auto"/>
      </w:pPr>
      <w:r>
        <w:continuationSeparator/>
      </w:r>
    </w:p>
  </w:endnote>
  <w:endnote w:type="continuationNotice" w:id="2">
    <w:p w:rsidR="002315A8" w:rsidRDefault="002315A8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002315A8" w:rsidTr="17F4C8A1">
      <w:trPr>
        <w:trHeight w:val="300"/>
      </w:trPr>
      <w:tc>
        <w:tcPr>
          <w:tcW w:w="3005" w:type="dxa"/>
        </w:tcPr>
        <w:p w:rsidR="002315A8" w:rsidRDefault="002315A8" w:rsidP="17F4C8A1">
          <w:pPr>
            <w:pStyle w:val="Cabealho"/>
            <w:ind w:left="-115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jc w:val="center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ind w:right="-115"/>
            <w:jc w:val="right"/>
          </w:pPr>
        </w:p>
      </w:tc>
    </w:tr>
  </w:tbl>
  <w:p w:rsidR="002315A8" w:rsidRPr="00A63146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2315A8" w:rsidRPr="00A63146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2315A8" w:rsidRPr="001E03A2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2315A8" w:rsidRDefault="002315A8" w:rsidP="17F4C8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5A8" w:rsidRDefault="002315A8">
      <w:pPr>
        <w:spacing w:after="0" w:line="240" w:lineRule="auto"/>
      </w:pPr>
      <w:r>
        <w:separator/>
      </w:r>
    </w:p>
  </w:footnote>
  <w:footnote w:type="continuationSeparator" w:id="1">
    <w:p w:rsidR="002315A8" w:rsidRDefault="002315A8">
      <w:pPr>
        <w:spacing w:after="0" w:line="240" w:lineRule="auto"/>
      </w:pPr>
      <w:r>
        <w:continuationSeparator/>
      </w:r>
    </w:p>
  </w:footnote>
  <w:footnote w:type="continuationNotice" w:id="2">
    <w:p w:rsidR="002315A8" w:rsidRDefault="002315A8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A8" w:rsidRDefault="002315A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2315A8" w:rsidTr="00B6042D">
      <w:trPr>
        <w:trHeight w:val="1005"/>
        <w:jc w:val="center"/>
      </w:trPr>
      <w:tc>
        <w:tcPr>
          <w:tcW w:w="922" w:type="dxa"/>
        </w:tcPr>
        <w:p w:rsidR="002315A8" w:rsidRDefault="002315A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2315A8" w:rsidRPr="00B6042D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2315A8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2315A8" w:rsidRPr="00617600" w:rsidRDefault="002315A8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2315A8" w:rsidRDefault="002315A8" w:rsidP="0026063D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13916"/>
    <w:rsid w:val="00035428"/>
    <w:rsid w:val="0003548E"/>
    <w:rsid w:val="00052D8E"/>
    <w:rsid w:val="00054265"/>
    <w:rsid w:val="00061687"/>
    <w:rsid w:val="000639DC"/>
    <w:rsid w:val="0007D051"/>
    <w:rsid w:val="00090EAE"/>
    <w:rsid w:val="00097064"/>
    <w:rsid w:val="000A09A8"/>
    <w:rsid w:val="000A51A3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66B4D"/>
    <w:rsid w:val="0017175C"/>
    <w:rsid w:val="00175613"/>
    <w:rsid w:val="00193549"/>
    <w:rsid w:val="001C2444"/>
    <w:rsid w:val="001D776D"/>
    <w:rsid w:val="001E6DE5"/>
    <w:rsid w:val="001F00DB"/>
    <w:rsid w:val="001F00E8"/>
    <w:rsid w:val="0021371A"/>
    <w:rsid w:val="002315A8"/>
    <w:rsid w:val="002413CF"/>
    <w:rsid w:val="00241B5C"/>
    <w:rsid w:val="002446BA"/>
    <w:rsid w:val="0024F596"/>
    <w:rsid w:val="0025316D"/>
    <w:rsid w:val="002544FF"/>
    <w:rsid w:val="0026063D"/>
    <w:rsid w:val="0027356A"/>
    <w:rsid w:val="00274EF5"/>
    <w:rsid w:val="00290C18"/>
    <w:rsid w:val="00297C7E"/>
    <w:rsid w:val="002B3512"/>
    <w:rsid w:val="002B7763"/>
    <w:rsid w:val="00300683"/>
    <w:rsid w:val="0030528B"/>
    <w:rsid w:val="003521A9"/>
    <w:rsid w:val="0037086E"/>
    <w:rsid w:val="003952BD"/>
    <w:rsid w:val="003B262D"/>
    <w:rsid w:val="003E27B1"/>
    <w:rsid w:val="003F7EA3"/>
    <w:rsid w:val="004254F5"/>
    <w:rsid w:val="00462399"/>
    <w:rsid w:val="00472FD9"/>
    <w:rsid w:val="00480806"/>
    <w:rsid w:val="004818A1"/>
    <w:rsid w:val="00483851"/>
    <w:rsid w:val="00491C80"/>
    <w:rsid w:val="004974CA"/>
    <w:rsid w:val="004B7293"/>
    <w:rsid w:val="004C088F"/>
    <w:rsid w:val="004D6BBD"/>
    <w:rsid w:val="004D70D3"/>
    <w:rsid w:val="004E7FF0"/>
    <w:rsid w:val="004F5BCC"/>
    <w:rsid w:val="005032F1"/>
    <w:rsid w:val="00513098"/>
    <w:rsid w:val="00517ED6"/>
    <w:rsid w:val="00531033"/>
    <w:rsid w:val="00550B65"/>
    <w:rsid w:val="00593F77"/>
    <w:rsid w:val="005954A2"/>
    <w:rsid w:val="0059603D"/>
    <w:rsid w:val="005A5F7D"/>
    <w:rsid w:val="005B3098"/>
    <w:rsid w:val="005B6FC7"/>
    <w:rsid w:val="005C6561"/>
    <w:rsid w:val="005D78C8"/>
    <w:rsid w:val="005F61D3"/>
    <w:rsid w:val="006052E0"/>
    <w:rsid w:val="006062CA"/>
    <w:rsid w:val="00613259"/>
    <w:rsid w:val="00617600"/>
    <w:rsid w:val="006218E8"/>
    <w:rsid w:val="00634548"/>
    <w:rsid w:val="0065575F"/>
    <w:rsid w:val="00655A0E"/>
    <w:rsid w:val="0065715B"/>
    <w:rsid w:val="006579A2"/>
    <w:rsid w:val="00664C81"/>
    <w:rsid w:val="00672549"/>
    <w:rsid w:val="00685585"/>
    <w:rsid w:val="006954B9"/>
    <w:rsid w:val="006A0798"/>
    <w:rsid w:val="006B4461"/>
    <w:rsid w:val="006C6D16"/>
    <w:rsid w:val="006D6577"/>
    <w:rsid w:val="006F340B"/>
    <w:rsid w:val="006F556B"/>
    <w:rsid w:val="00752CEC"/>
    <w:rsid w:val="007A1383"/>
    <w:rsid w:val="007A37B4"/>
    <w:rsid w:val="007C1AE6"/>
    <w:rsid w:val="007D3B94"/>
    <w:rsid w:val="007D7323"/>
    <w:rsid w:val="007F2912"/>
    <w:rsid w:val="007F31FB"/>
    <w:rsid w:val="008010B7"/>
    <w:rsid w:val="008121D4"/>
    <w:rsid w:val="00846004"/>
    <w:rsid w:val="00851251"/>
    <w:rsid w:val="00852AD8"/>
    <w:rsid w:val="00857E8E"/>
    <w:rsid w:val="00865559"/>
    <w:rsid w:val="008A3796"/>
    <w:rsid w:val="008A461A"/>
    <w:rsid w:val="008B1755"/>
    <w:rsid w:val="008B5A61"/>
    <w:rsid w:val="0090188D"/>
    <w:rsid w:val="00923E95"/>
    <w:rsid w:val="00933039"/>
    <w:rsid w:val="0093567E"/>
    <w:rsid w:val="009823D8"/>
    <w:rsid w:val="00995CC9"/>
    <w:rsid w:val="009E5162"/>
    <w:rsid w:val="009F5E77"/>
    <w:rsid w:val="00A12778"/>
    <w:rsid w:val="00A413E5"/>
    <w:rsid w:val="00A610F0"/>
    <w:rsid w:val="00A67678"/>
    <w:rsid w:val="00A739BF"/>
    <w:rsid w:val="00A74361"/>
    <w:rsid w:val="00A94D43"/>
    <w:rsid w:val="00AC08AA"/>
    <w:rsid w:val="00AD6C40"/>
    <w:rsid w:val="00AE1465"/>
    <w:rsid w:val="00AE25ED"/>
    <w:rsid w:val="00AE4985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674E2"/>
    <w:rsid w:val="00B74C4B"/>
    <w:rsid w:val="00B75171"/>
    <w:rsid w:val="00B75520"/>
    <w:rsid w:val="00B82A70"/>
    <w:rsid w:val="00B940AE"/>
    <w:rsid w:val="00B974CE"/>
    <w:rsid w:val="00BB7341"/>
    <w:rsid w:val="00BE2B72"/>
    <w:rsid w:val="00BF1152"/>
    <w:rsid w:val="00C10CE3"/>
    <w:rsid w:val="00C362D7"/>
    <w:rsid w:val="00C37FD2"/>
    <w:rsid w:val="00C42405"/>
    <w:rsid w:val="00C62D3E"/>
    <w:rsid w:val="00C6445F"/>
    <w:rsid w:val="00C65043"/>
    <w:rsid w:val="00C83B00"/>
    <w:rsid w:val="00CA7273"/>
    <w:rsid w:val="00CD40DC"/>
    <w:rsid w:val="00CF09BD"/>
    <w:rsid w:val="00CF11F5"/>
    <w:rsid w:val="00D03E13"/>
    <w:rsid w:val="00D11A5C"/>
    <w:rsid w:val="00D16CF0"/>
    <w:rsid w:val="00D17908"/>
    <w:rsid w:val="00D20A60"/>
    <w:rsid w:val="00D20B3D"/>
    <w:rsid w:val="00D25504"/>
    <w:rsid w:val="00D32D37"/>
    <w:rsid w:val="00D342C6"/>
    <w:rsid w:val="00D67CF7"/>
    <w:rsid w:val="00D87DB0"/>
    <w:rsid w:val="00DB4BE6"/>
    <w:rsid w:val="00DC753D"/>
    <w:rsid w:val="00DD017E"/>
    <w:rsid w:val="00DE167E"/>
    <w:rsid w:val="00E04C8E"/>
    <w:rsid w:val="00E31CCE"/>
    <w:rsid w:val="00E73579"/>
    <w:rsid w:val="00E80DFA"/>
    <w:rsid w:val="00E80E8B"/>
    <w:rsid w:val="00E938AA"/>
    <w:rsid w:val="00EA6E88"/>
    <w:rsid w:val="00EC0C72"/>
    <w:rsid w:val="00EC3C66"/>
    <w:rsid w:val="00EDCCB4"/>
    <w:rsid w:val="00EE473C"/>
    <w:rsid w:val="00EE595B"/>
    <w:rsid w:val="00EF5D91"/>
    <w:rsid w:val="00F218A1"/>
    <w:rsid w:val="00F25575"/>
    <w:rsid w:val="00F32976"/>
    <w:rsid w:val="00F36C90"/>
    <w:rsid w:val="00F474A8"/>
    <w:rsid w:val="00F616B2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3"/>
        <o:r id="V:Rule6" type="connector" idref="#_x0000_s2064"/>
        <o:r id="V:Rule7" type="connector" idref="#_x0000_s2065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26063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1019</Words>
  <Characters>5505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2025-10-09T21:57:00Z</cp:lastPrinted>
  <dcterms:created xsi:type="dcterms:W3CDTF">2025-10-09T22:48:00Z</dcterms:created>
  <dcterms:modified xsi:type="dcterms:W3CDTF">2025-10-09T22:48:00Z</dcterms:modified>
</cp:coreProperties>
</file>