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655A0E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C10CE3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C10CE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A413E5" w:rsidRPr="00C10CE3">
        <w:rPr>
          <w:rFonts w:ascii="Tahoma" w:hAnsi="Tahoma" w:cs="Tahoma"/>
          <w:b/>
          <w:sz w:val="18"/>
          <w:szCs w:val="18"/>
        </w:rPr>
        <w:t>MAPEAMENTO E MONITORAMENTO DE ÁREAS DE RISCO</w:t>
      </w:r>
      <w:r w:rsidR="00A413E5" w:rsidRPr="00C10CE3">
        <w:rPr>
          <w:rFonts w:ascii="Tahoma" w:eastAsia="Times New Roman" w:hAnsi="Tahoma" w:cs="Tahoma"/>
          <w:b/>
          <w:sz w:val="18"/>
          <w:szCs w:val="18"/>
        </w:rPr>
        <w:t xml:space="preserve"> </w:t>
      </w:r>
      <w:r w:rsidR="004254F5" w:rsidRPr="00C10CE3">
        <w:rPr>
          <w:rFonts w:ascii="Tahoma" w:eastAsia="Times New Roman" w:hAnsi="Tahoma" w:cs="Tahoma"/>
          <w:b/>
          <w:sz w:val="18"/>
          <w:szCs w:val="18"/>
        </w:rPr>
        <w:t>IMPLANTAD</w:t>
      </w:r>
      <w:r w:rsidR="00634548" w:rsidRPr="00C10CE3">
        <w:rPr>
          <w:rFonts w:ascii="Tahoma" w:eastAsia="Times New Roman" w:hAnsi="Tahoma" w:cs="Tahoma"/>
          <w:b/>
          <w:sz w:val="18"/>
          <w:szCs w:val="18"/>
        </w:rPr>
        <w:t>O E MANTID</w:t>
      </w:r>
      <w:r w:rsidR="00EA6E88" w:rsidRPr="00C10CE3">
        <w:rPr>
          <w:rFonts w:ascii="Tahoma" w:eastAsia="Times New Roman" w:hAnsi="Tahoma" w:cs="Tahoma"/>
          <w:b/>
          <w:sz w:val="18"/>
          <w:szCs w:val="18"/>
        </w:rPr>
        <w:t>O</w:t>
      </w:r>
      <w:r w:rsidR="00EA6E88"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</w:t>
      </w:r>
      <w:proofErr w:type="gramStart"/>
      <w:r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anexo I </w:t>
      </w:r>
      <w:r w:rsidR="00C362D7"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– Estrutura</w:t>
      </w:r>
      <w:proofErr w:type="gramEnd"/>
      <w:r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Consolidada do Plano Plurianual 2026-2029 para o quadriênio 2026/2029, </w:t>
      </w:r>
      <w:r w:rsidR="00A413E5" w:rsidRPr="00C10CE3">
        <w:rPr>
          <w:rFonts w:ascii="Tahoma" w:hAnsi="Tahoma" w:cs="Tahoma"/>
          <w:b/>
          <w:sz w:val="18"/>
          <w:szCs w:val="18"/>
        </w:rPr>
        <w:t xml:space="preserve">0132 - </w:t>
      </w:r>
      <w:proofErr w:type="spellStart"/>
      <w:r w:rsidR="00A413E5" w:rsidRPr="00C10CE3">
        <w:rPr>
          <w:rFonts w:ascii="Tahoma" w:hAnsi="Tahoma" w:cs="Tahoma"/>
          <w:b/>
          <w:sz w:val="18"/>
          <w:szCs w:val="18"/>
        </w:rPr>
        <w:t>Resiliência</w:t>
      </w:r>
      <w:proofErr w:type="spellEnd"/>
      <w:r w:rsidR="00A413E5" w:rsidRPr="00C10CE3">
        <w:rPr>
          <w:rFonts w:ascii="Tahoma" w:hAnsi="Tahoma" w:cs="Tahoma"/>
          <w:b/>
          <w:sz w:val="18"/>
          <w:szCs w:val="18"/>
        </w:rPr>
        <w:t xml:space="preserve"> a Desastres e Adaptação às Mudanças Climáticas</w:t>
      </w:r>
      <w:r w:rsidRPr="00C10CE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C10CE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C10CE3" w:rsidRDefault="7DEE9414" w:rsidP="00664C81">
      <w:pPr>
        <w:pStyle w:val="normal0"/>
        <w:spacing w:after="0"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C10CE3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C10CE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A413E5" w:rsidRPr="00C10CE3">
        <w:rPr>
          <w:rFonts w:ascii="Tahoma" w:hAnsi="Tahoma" w:cs="Tahoma"/>
          <w:b/>
          <w:sz w:val="18"/>
          <w:szCs w:val="18"/>
        </w:rPr>
        <w:t>MAPEAMENTO E MONITORAMENTO DE ÁREAS DE RISCO</w:t>
      </w:r>
      <w:r w:rsidR="00A413E5" w:rsidRPr="00C10CE3">
        <w:rPr>
          <w:rFonts w:ascii="Tahoma" w:eastAsia="Times New Roman" w:hAnsi="Tahoma" w:cs="Tahoma"/>
          <w:b/>
          <w:sz w:val="18"/>
          <w:szCs w:val="18"/>
        </w:rPr>
        <w:t xml:space="preserve"> IMPLANTADO E MANTIDO</w:t>
      </w:r>
      <w:r w:rsidR="00A413E5"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2315A8"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="00097064"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– Estrutura Consolidada do Plano Plurianual 2026-2029 para o quadriênio 2026/2029, no Programa </w:t>
      </w:r>
      <w:r w:rsidR="00A413E5" w:rsidRPr="00C10CE3">
        <w:rPr>
          <w:rFonts w:ascii="Tahoma" w:hAnsi="Tahoma" w:cs="Tahoma"/>
          <w:b/>
          <w:sz w:val="18"/>
          <w:szCs w:val="18"/>
        </w:rPr>
        <w:t xml:space="preserve">0132 - </w:t>
      </w:r>
      <w:proofErr w:type="spellStart"/>
      <w:r w:rsidR="00A413E5" w:rsidRPr="00C10CE3">
        <w:rPr>
          <w:rFonts w:ascii="Tahoma" w:hAnsi="Tahoma" w:cs="Tahoma"/>
          <w:b/>
          <w:sz w:val="18"/>
          <w:szCs w:val="18"/>
        </w:rPr>
        <w:t>Resiliência</w:t>
      </w:r>
      <w:proofErr w:type="spellEnd"/>
      <w:r w:rsidR="00A413E5" w:rsidRPr="00C10CE3">
        <w:rPr>
          <w:rFonts w:ascii="Tahoma" w:hAnsi="Tahoma" w:cs="Tahoma"/>
          <w:b/>
          <w:sz w:val="18"/>
          <w:szCs w:val="18"/>
        </w:rPr>
        <w:t xml:space="preserve"> a Desastres e Adaptação às Mudanças Climáticas</w:t>
      </w:r>
      <w:r w:rsidR="00097064" w:rsidRPr="00C10CE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C10CE3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C10CE3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C10CE3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1130"/>
        <w:gridCol w:w="925"/>
        <w:gridCol w:w="67"/>
        <w:gridCol w:w="788"/>
        <w:gridCol w:w="952"/>
        <w:gridCol w:w="345"/>
        <w:gridCol w:w="1245"/>
        <w:gridCol w:w="960"/>
        <w:gridCol w:w="844"/>
        <w:gridCol w:w="394"/>
        <w:gridCol w:w="1276"/>
        <w:gridCol w:w="851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3B262D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65715B" w:rsidRDefault="00A413E5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A413E5">
              <w:rPr>
                <w:rFonts w:ascii="Tahoma" w:hAnsi="Tahoma" w:cs="Tahoma"/>
                <w:b/>
                <w:sz w:val="18"/>
                <w:szCs w:val="18"/>
              </w:rPr>
              <w:t>Resiliência</w:t>
            </w:r>
            <w:proofErr w:type="spellEnd"/>
            <w:r w:rsidRPr="00A413E5">
              <w:rPr>
                <w:rFonts w:ascii="Tahoma" w:hAnsi="Tahoma" w:cs="Tahoma"/>
                <w:b/>
                <w:sz w:val="18"/>
                <w:szCs w:val="18"/>
              </w:rPr>
              <w:t xml:space="preserve"> a Desastres e Adaptação às Mudanças Climáticas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3B262D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A413E5" w:rsidRDefault="00A413E5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A413E5">
              <w:rPr>
                <w:rFonts w:ascii="Tahoma" w:hAnsi="Tahoma" w:cs="Tahoma"/>
                <w:b/>
                <w:sz w:val="16"/>
                <w:szCs w:val="16"/>
              </w:rPr>
              <w:t>MAPEAMENTO E MONITORAMENTO DE ÁREAS DE RISCO</w:t>
            </w:r>
            <w:r w:rsidRPr="00A413E5">
              <w:rPr>
                <w:rFonts w:ascii="Tahoma" w:eastAsia="Times New Roman" w:hAnsi="Tahoma" w:cs="Tahoma"/>
                <w:b/>
                <w:sz w:val="16"/>
                <w:szCs w:val="16"/>
              </w:rPr>
              <w:t xml:space="preserve"> IMPLANTADO E MANTIDO</w:t>
            </w:r>
          </w:p>
        </w:tc>
      </w:tr>
      <w:tr w:rsidR="007F2912" w:rsidRPr="006579A2" w:rsidTr="002315A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3B262D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A413E5" w:rsidRDefault="00C10CE3" w:rsidP="0026063D">
            <w:pPr>
              <w:pStyle w:val="normal0"/>
              <w:spacing w:after="0" w:line="24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A implantação e a manutenção </w:t>
            </w:r>
            <w:r w:rsidR="0026063D">
              <w:rPr>
                <w:sz w:val="18"/>
                <w:szCs w:val="18"/>
              </w:rPr>
              <w:t>visa</w:t>
            </w:r>
            <w:proofErr w:type="gramEnd"/>
            <w:r w:rsidR="00A413E5" w:rsidRPr="00A413E5">
              <w:rPr>
                <w:sz w:val="18"/>
                <w:szCs w:val="18"/>
              </w:rPr>
              <w:t xml:space="preserve"> aprimorar as ações de identificação, monitoramento e prevenção de desastres em áreas suscetíveis a deslizamentos, inundações e demais eventos geodinâmicos no município de Niterói.</w:t>
            </w:r>
            <w:r>
              <w:rPr>
                <w:sz w:val="18"/>
                <w:szCs w:val="18"/>
              </w:rPr>
              <w:t xml:space="preserve"> </w:t>
            </w:r>
            <w:r w:rsidR="0026063D">
              <w:rPr>
                <w:sz w:val="18"/>
                <w:szCs w:val="18"/>
              </w:rPr>
              <w:t>P</w:t>
            </w:r>
            <w:r w:rsidR="00A413E5" w:rsidRPr="00A413E5">
              <w:rPr>
                <w:sz w:val="18"/>
                <w:szCs w:val="18"/>
              </w:rPr>
              <w:t>revê o fortalecimento da infraestrutura</w:t>
            </w:r>
            <w:proofErr w:type="gramStart"/>
            <w:r w:rsidR="00A413E5" w:rsidRPr="00A413E5">
              <w:rPr>
                <w:sz w:val="18"/>
                <w:szCs w:val="18"/>
              </w:rPr>
              <w:t xml:space="preserve">  </w:t>
            </w:r>
            <w:proofErr w:type="gramEnd"/>
            <w:r w:rsidR="00A413E5" w:rsidRPr="00A413E5">
              <w:rPr>
                <w:sz w:val="18"/>
                <w:szCs w:val="18"/>
              </w:rPr>
              <w:t>operacional da Defesa Civil Municipal, por meio da atualização dos mapeamentos de risco geotécnico e hidrológico, e ampliação do Sistema DETEC – Detecção de Novas Construções em Áreas de Risco e Proteção Ambiental.</w:t>
            </w:r>
          </w:p>
        </w:tc>
      </w:tr>
      <w:tr w:rsidR="007F2912" w:rsidRPr="006579A2" w:rsidTr="007F291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C10CE3" w:rsidP="005D78C8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t>SMCDCR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TRANSVERSAL:</w:t>
            </w:r>
          </w:p>
        </w:tc>
        <w:tc>
          <w:tcPr>
            <w:tcW w:w="4322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A7273" w:rsidRDefault="00C10CE3" w:rsidP="20FF0B1A">
            <w:pPr>
              <w:spacing w:after="0"/>
              <w:rPr>
                <w:rFonts w:ascii="Tahoma" w:eastAsia="Times New Roman" w:hAnsi="Tahoma" w:cs="Tahoma"/>
                <w:b/>
                <w:sz w:val="16"/>
                <w:szCs w:val="16"/>
              </w:rPr>
            </w:pPr>
            <w:r w:rsidRPr="00A23552">
              <w:rPr>
                <w:rFonts w:ascii="Tahoma" w:hAnsi="Tahoma" w:cs="Tahoma"/>
                <w:sz w:val="16"/>
                <w:szCs w:val="16"/>
              </w:rPr>
              <w:t>NITERÓI POR ELAS; NITERÓI PRIMEIRA INFÂNCIA; NITERÓI ANTIRRACISTA; NITERÓI JOVEM</w:t>
            </w:r>
          </w:p>
        </w:tc>
      </w:tr>
      <w:tr w:rsidR="007F2912" w:rsidRPr="004D70D3" w:rsidTr="007F291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474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007F2912" w:rsidRPr="00C10CE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14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F2912" w:rsidRPr="004D70D3" w:rsidTr="00C10CE3">
        <w:trPr>
          <w:trHeight w:val="332"/>
        </w:trPr>
        <w:tc>
          <w:tcPr>
            <w:tcW w:w="9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51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3E27B1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6" type="#_x0000_t32" style="position:absolute;margin-left:40.8pt;margin-top:-5.4pt;width:0;height:123.25pt;z-index:251676672;mso-position-horizontal-relative:text;mso-position-vertical-relative:text" o:connectortype="straight"/>
              </w:pict>
            </w:r>
            <w:r w:rsidR="007F2912"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DC753D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1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3E27B1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 id="_x0000_s2063" type="#_x0000_t32" style="position:absolute;left:0;text-align:left;margin-left:50.25pt;margin-top:3.95pt;width:.8pt;height:96pt;flip:x;z-index:251673600;mso-position-horizontal-relative:text;mso-position-vertical-relative:text" o:connectortype="straight"/>
              </w:pict>
            </w:r>
            <w:r w:rsidR="00C362D7" w:rsidRPr="00C10CE3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26063D">
              <w:rPr>
                <w:rFonts w:ascii="Tahoma" w:hAnsi="Tahoma" w:cs="Tahoma"/>
                <w:sz w:val="16"/>
                <w:szCs w:val="16"/>
              </w:rPr>
              <w:t>4</w:t>
            </w:r>
            <w:r w:rsidR="00C362D7" w:rsidRPr="00C10CE3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0026063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26063D">
              <w:rPr>
                <w:rFonts w:ascii="Tahoma" w:hAnsi="Tahoma" w:cs="Tahoma"/>
                <w:sz w:val="16"/>
                <w:szCs w:val="16"/>
              </w:rPr>
              <w:t>2</w:t>
            </w:r>
            <w:r w:rsidRPr="00C10CE3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655A0E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3E27B1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 id="_x0000_s2064" type="#_x0000_t32" style="position:absolute;left:0;text-align:left;margin-left:59.65pt;margin-top:-.85pt;width:.8pt;height:96pt;flip:x;z-index:25167462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0026063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26063D">
              <w:rPr>
                <w:rFonts w:ascii="Tahoma" w:hAnsi="Tahoma" w:cs="Tahoma"/>
                <w:sz w:val="16"/>
                <w:szCs w:val="16"/>
              </w:rPr>
              <w:t>2</w:t>
            </w:r>
            <w:r w:rsidRPr="00C10CE3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655A0E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238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3E27B1" w:rsidP="002315A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 id="_x0000_s2065" type="#_x0000_t32" style="position:absolute;left:0;text-align:left;margin-left:57.05pt;margin-top:.35pt;width:.8pt;height:96pt;flip:x;z-index:251675648;mso-position-horizontal-relative:text;mso-position-vertical-relative:text" o:connectortype="straight"/>
              </w:pic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0026063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26063D">
              <w:rPr>
                <w:rFonts w:ascii="Tahoma" w:hAnsi="Tahoma" w:cs="Tahoma"/>
                <w:sz w:val="16"/>
                <w:szCs w:val="16"/>
              </w:rPr>
              <w:t>2</w:t>
            </w:r>
            <w:r w:rsidRPr="00C10CE3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655A0E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002315A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005D78C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26063D">
              <w:rPr>
                <w:rFonts w:ascii="Tahoma" w:hAnsi="Tahoma" w:cs="Tahoma"/>
                <w:sz w:val="16"/>
                <w:szCs w:val="16"/>
              </w:rPr>
              <w:t>2</w:t>
            </w:r>
            <w:r w:rsidRPr="00C10CE3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:rsidR="004E7FF0" w:rsidRDefault="004E7FF0" w:rsidP="004E7FF0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811B66" w:rsidRDefault="00C10CE3" w:rsidP="002315A8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43DE1">
              <w:rPr>
                <w:rFonts w:ascii="Tahoma" w:hAnsi="Tahoma" w:cs="Tahoma"/>
                <w:sz w:val="18"/>
                <w:szCs w:val="18"/>
              </w:rPr>
              <w:t>0140 | Justiça, Cidadania e Diversidade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6063D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 w:rsidR="0026063D">
              <w:rPr>
                <w:rFonts w:ascii="Tahoma" w:hAnsi="Tahoma" w:cs="Tahoma"/>
                <w:sz w:val="16"/>
                <w:szCs w:val="16"/>
              </w:rPr>
              <w:t xml:space="preserve"> 1.2</w:t>
            </w:r>
            <w:r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19EB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</w:tbl>
    <w:p w:rsidR="00E31CCE" w:rsidRPr="0065715B" w:rsidRDefault="00D25504" w:rsidP="004E7FF0">
      <w:pPr>
        <w:widowControl w:val="0"/>
        <w:spacing w:after="0" w:line="276" w:lineRule="auto"/>
        <w:jc w:val="both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>J</w:t>
      </w:r>
      <w:r w:rsidR="6EB48AD2" w:rsidRPr="0065715B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t xml:space="preserve">USTIFICATIVA: </w:t>
      </w:r>
    </w:p>
    <w:p w:rsidR="00C37FD2" w:rsidRPr="00D25504" w:rsidRDefault="0026063D" w:rsidP="00D25504">
      <w:pPr>
        <w:pStyle w:val="NormalWeb"/>
        <w:ind w:firstLine="708"/>
        <w:jc w:val="both"/>
        <w:rPr>
          <w:rFonts w:ascii="Tahoma" w:hAnsi="Tahoma" w:cs="Tahoma"/>
          <w:sz w:val="22"/>
          <w:szCs w:val="22"/>
        </w:rPr>
      </w:pPr>
      <w:r w:rsidRPr="00D25504">
        <w:rPr>
          <w:rFonts w:ascii="Tahoma" w:hAnsi="Tahoma" w:cs="Tahoma"/>
          <w:sz w:val="22"/>
          <w:szCs w:val="22"/>
        </w:rPr>
        <w:t xml:space="preserve">A presente emenda tem por finalidade assegurar investimentos contínuos e estratégicos na modernização do sistema municipal de mapeamento e monitoramento de áreas de risco, </w:t>
      </w:r>
      <w:r w:rsidR="00166B4D" w:rsidRPr="00D25504">
        <w:rPr>
          <w:rFonts w:ascii="Tahoma" w:hAnsi="Tahoma" w:cs="Tahoma"/>
          <w:sz w:val="22"/>
          <w:szCs w:val="22"/>
        </w:rPr>
        <w:t xml:space="preserve">com foco especial nas regiões afetadas por </w:t>
      </w:r>
      <w:r w:rsidR="00166B4D" w:rsidRPr="00D25504">
        <w:rPr>
          <w:rStyle w:val="Forte"/>
          <w:rFonts w:ascii="Tahoma" w:hAnsi="Tahoma" w:cs="Tahoma"/>
          <w:sz w:val="22"/>
          <w:szCs w:val="22"/>
        </w:rPr>
        <w:t>construções irregulares e ocupações em Áreas de Proteção Ambiental (</w:t>
      </w:r>
      <w:proofErr w:type="spellStart"/>
      <w:r w:rsidR="00166B4D" w:rsidRPr="00D25504">
        <w:rPr>
          <w:rStyle w:val="Forte"/>
          <w:rFonts w:ascii="Tahoma" w:hAnsi="Tahoma" w:cs="Tahoma"/>
          <w:sz w:val="22"/>
          <w:szCs w:val="22"/>
        </w:rPr>
        <w:t>APAs</w:t>
      </w:r>
      <w:proofErr w:type="spellEnd"/>
      <w:r w:rsidR="00166B4D" w:rsidRPr="00D25504">
        <w:rPr>
          <w:rStyle w:val="Forte"/>
          <w:rFonts w:ascii="Tahoma" w:hAnsi="Tahoma" w:cs="Tahoma"/>
          <w:sz w:val="22"/>
          <w:szCs w:val="22"/>
        </w:rPr>
        <w:t>)</w:t>
      </w:r>
      <w:r w:rsidR="00C37FD2" w:rsidRPr="00D25504">
        <w:rPr>
          <w:rStyle w:val="Forte"/>
          <w:rFonts w:ascii="Tahoma" w:hAnsi="Tahoma" w:cs="Tahoma"/>
          <w:sz w:val="22"/>
          <w:szCs w:val="22"/>
        </w:rPr>
        <w:t>.</w:t>
      </w:r>
      <w:r w:rsidR="00AE4985" w:rsidRPr="00D25504">
        <w:rPr>
          <w:rStyle w:val="Forte"/>
          <w:rFonts w:ascii="Tahoma" w:hAnsi="Tahoma" w:cs="Tahoma"/>
          <w:sz w:val="22"/>
          <w:szCs w:val="22"/>
        </w:rPr>
        <w:t xml:space="preserve"> </w:t>
      </w:r>
      <w:r w:rsidR="00C37FD2" w:rsidRPr="00D25504">
        <w:rPr>
          <w:rFonts w:ascii="Tahoma" w:hAnsi="Tahoma" w:cs="Tahoma"/>
          <w:sz w:val="22"/>
          <w:szCs w:val="22"/>
        </w:rPr>
        <w:t>Esse instrumento é fundamental para a segurança urbana, prevenção de tragédias e estímulo ao planejamento sustentável.</w:t>
      </w:r>
    </w:p>
    <w:p w:rsidR="00C37FD2" w:rsidRPr="00D25504" w:rsidRDefault="0026063D" w:rsidP="00D25504">
      <w:pPr>
        <w:pStyle w:val="NormalWeb"/>
        <w:ind w:firstLine="708"/>
        <w:jc w:val="both"/>
        <w:rPr>
          <w:rStyle w:val="Forte"/>
          <w:rFonts w:ascii="Tahoma" w:hAnsi="Tahoma" w:cs="Tahoma"/>
          <w:sz w:val="22"/>
          <w:szCs w:val="22"/>
        </w:rPr>
      </w:pPr>
      <w:r w:rsidRPr="00D25504">
        <w:rPr>
          <w:rFonts w:ascii="Tahoma" w:hAnsi="Tahoma" w:cs="Tahoma"/>
          <w:sz w:val="22"/>
          <w:szCs w:val="22"/>
        </w:rPr>
        <w:t xml:space="preserve">O município </w:t>
      </w:r>
      <w:proofErr w:type="gramStart"/>
      <w:r w:rsidRPr="00D25504">
        <w:rPr>
          <w:rFonts w:ascii="Tahoma" w:hAnsi="Tahoma" w:cs="Tahoma"/>
          <w:sz w:val="22"/>
          <w:szCs w:val="22"/>
        </w:rPr>
        <w:t>apresenta,</w:t>
      </w:r>
      <w:proofErr w:type="gramEnd"/>
      <w:r w:rsidRPr="00D25504">
        <w:rPr>
          <w:rFonts w:ascii="Tahoma" w:hAnsi="Tahoma" w:cs="Tahoma"/>
          <w:sz w:val="22"/>
          <w:szCs w:val="22"/>
        </w:rPr>
        <w:t xml:space="preserve"> segundo levantamento da Prefeitura e da Defesa Civil, </w:t>
      </w:r>
      <w:r w:rsidRPr="00D25504">
        <w:rPr>
          <w:rStyle w:val="Forte"/>
          <w:rFonts w:ascii="Tahoma" w:hAnsi="Tahoma" w:cs="Tahoma"/>
          <w:sz w:val="22"/>
          <w:szCs w:val="22"/>
        </w:rPr>
        <w:t>258 áreas classificadas como de risco</w:t>
      </w:r>
      <w:r w:rsidRPr="00D25504">
        <w:rPr>
          <w:rFonts w:ascii="Tahoma" w:hAnsi="Tahoma" w:cs="Tahoma"/>
          <w:sz w:val="22"/>
          <w:szCs w:val="22"/>
        </w:rPr>
        <w:t xml:space="preserve">, das quais </w:t>
      </w:r>
      <w:r w:rsidRPr="00D25504">
        <w:rPr>
          <w:rStyle w:val="Forte"/>
          <w:rFonts w:ascii="Tahoma" w:hAnsi="Tahoma" w:cs="Tahoma"/>
          <w:sz w:val="22"/>
          <w:szCs w:val="22"/>
        </w:rPr>
        <w:t>54 são consideradas de risco muito alto</w:t>
      </w:r>
      <w:r w:rsidRPr="00D25504">
        <w:rPr>
          <w:rFonts w:ascii="Tahoma" w:hAnsi="Tahoma" w:cs="Tahoma"/>
          <w:sz w:val="22"/>
          <w:szCs w:val="22"/>
        </w:rPr>
        <w:t xml:space="preserve">, abrigando aproximadamente </w:t>
      </w:r>
      <w:r w:rsidRPr="00D25504">
        <w:rPr>
          <w:rStyle w:val="Forte"/>
          <w:rFonts w:ascii="Tahoma" w:hAnsi="Tahoma" w:cs="Tahoma"/>
          <w:sz w:val="22"/>
          <w:szCs w:val="22"/>
        </w:rPr>
        <w:t>33 mil moradores</w:t>
      </w:r>
      <w:r w:rsidRPr="00D25504">
        <w:rPr>
          <w:rFonts w:ascii="Tahoma" w:hAnsi="Tahoma" w:cs="Tahoma"/>
          <w:sz w:val="22"/>
          <w:szCs w:val="22"/>
        </w:rPr>
        <w:t xml:space="preserve">, o que representa cerca de </w:t>
      </w:r>
      <w:r w:rsidRPr="00D25504">
        <w:rPr>
          <w:rStyle w:val="Forte"/>
          <w:rFonts w:ascii="Tahoma" w:hAnsi="Tahoma" w:cs="Tahoma"/>
          <w:sz w:val="22"/>
          <w:szCs w:val="22"/>
        </w:rPr>
        <w:t>7% da população niteroiense</w:t>
      </w:r>
      <w:r w:rsidRPr="00D25504">
        <w:rPr>
          <w:rFonts w:ascii="Tahoma" w:hAnsi="Tahoma" w:cs="Tahoma"/>
          <w:sz w:val="22"/>
          <w:szCs w:val="22"/>
        </w:rPr>
        <w:t xml:space="preserve"> (Fontes: </w:t>
      </w:r>
      <w:r w:rsidRPr="00D25504">
        <w:rPr>
          <w:rStyle w:val="nfase"/>
          <w:rFonts w:ascii="Tahoma" w:hAnsi="Tahoma" w:cs="Tahoma"/>
          <w:sz w:val="22"/>
          <w:szCs w:val="22"/>
        </w:rPr>
        <w:t>O Globo, 2019</w:t>
      </w:r>
      <w:r w:rsidRPr="00D25504">
        <w:rPr>
          <w:rFonts w:ascii="Tahoma" w:hAnsi="Tahoma" w:cs="Tahoma"/>
          <w:sz w:val="22"/>
          <w:szCs w:val="22"/>
        </w:rPr>
        <w:t xml:space="preserve">; </w:t>
      </w:r>
      <w:r w:rsidRPr="00D25504">
        <w:rPr>
          <w:rStyle w:val="nfase"/>
          <w:rFonts w:ascii="Tahoma" w:hAnsi="Tahoma" w:cs="Tahoma"/>
          <w:sz w:val="22"/>
          <w:szCs w:val="22"/>
        </w:rPr>
        <w:t>A Seguir Niterói, 2023</w:t>
      </w:r>
      <w:r w:rsidR="00C37FD2" w:rsidRPr="00D25504">
        <w:rPr>
          <w:rStyle w:val="nfase"/>
          <w:rFonts w:ascii="Tahoma" w:hAnsi="Tahoma" w:cs="Tahoma"/>
          <w:sz w:val="22"/>
          <w:szCs w:val="22"/>
        </w:rPr>
        <w:t>.</w:t>
      </w:r>
      <w:r w:rsidR="00C37FD2" w:rsidRPr="00D25504">
        <w:rPr>
          <w:rFonts w:ascii="Tahoma" w:hAnsi="Tahoma" w:cs="Tahoma"/>
          <w:sz w:val="22"/>
          <w:szCs w:val="22"/>
        </w:rPr>
        <w:t xml:space="preserve"> A constatação da existência desse contingente em áreas vulneráveis </w:t>
      </w:r>
      <w:r w:rsidR="00AE4985" w:rsidRPr="00D25504">
        <w:rPr>
          <w:rFonts w:ascii="Tahoma" w:hAnsi="Tahoma" w:cs="Tahoma"/>
          <w:sz w:val="22"/>
          <w:szCs w:val="22"/>
        </w:rPr>
        <w:t xml:space="preserve">revela a urgência de políticas públicas voltadas não apenas à resposta emergencial, mas sobretudo à </w:t>
      </w:r>
      <w:r w:rsidR="00AE4985" w:rsidRPr="00D25504">
        <w:rPr>
          <w:rStyle w:val="Forte"/>
          <w:rFonts w:ascii="Tahoma" w:hAnsi="Tahoma" w:cs="Tahoma"/>
          <w:sz w:val="22"/>
          <w:szCs w:val="22"/>
        </w:rPr>
        <w:t>prevenção e monitoramento contínuo das encostas e áreas vulneráveis.</w:t>
      </w:r>
    </w:p>
    <w:p w:rsidR="00F474A8" w:rsidRPr="00D25504" w:rsidRDefault="0026063D" w:rsidP="00D25504">
      <w:pPr>
        <w:pStyle w:val="NormalWeb"/>
        <w:ind w:firstLine="708"/>
        <w:jc w:val="both"/>
        <w:rPr>
          <w:rFonts w:ascii="Tahoma" w:hAnsi="Tahoma" w:cs="Tahoma"/>
          <w:sz w:val="22"/>
          <w:szCs w:val="22"/>
        </w:rPr>
      </w:pPr>
      <w:r w:rsidRPr="00D25504">
        <w:rPr>
          <w:rFonts w:ascii="Tahoma" w:hAnsi="Tahoma" w:cs="Tahoma"/>
          <w:sz w:val="22"/>
          <w:szCs w:val="22"/>
        </w:rPr>
        <w:t xml:space="preserve">A necessidade de aprimorar o mapeamento e o acompanhamento dessas áreas se evidencia diante dos eventos climáticos extremos que têm se intensificado nos últimos anos, conforme apontado em estudo do </w:t>
      </w:r>
      <w:r w:rsidRPr="00D25504">
        <w:rPr>
          <w:rStyle w:val="Forte"/>
          <w:rFonts w:ascii="Tahoma" w:hAnsi="Tahoma" w:cs="Tahoma"/>
          <w:sz w:val="22"/>
          <w:szCs w:val="22"/>
        </w:rPr>
        <w:t>Ministério Público do Estado do Rio de Janeiro</w:t>
      </w:r>
      <w:r w:rsidR="00F474A8" w:rsidRPr="00D25504">
        <w:rPr>
          <w:rFonts w:ascii="Tahoma" w:hAnsi="Tahoma" w:cs="Tahoma"/>
          <w:sz w:val="22"/>
          <w:szCs w:val="22"/>
        </w:rPr>
        <w:t xml:space="preserve"> </w:t>
      </w:r>
      <w:r w:rsidR="00531033" w:rsidRPr="00D25504">
        <w:rPr>
          <w:rFonts w:ascii="Tahoma" w:hAnsi="Tahoma" w:cs="Tahoma"/>
          <w:sz w:val="22"/>
          <w:szCs w:val="22"/>
        </w:rPr>
        <w:t>evidenciou que Niterói figura entre os municípios fluminenses com</w:t>
      </w:r>
      <w:r w:rsidRPr="00D25504">
        <w:rPr>
          <w:rFonts w:ascii="Tahoma" w:hAnsi="Tahoma" w:cs="Tahoma"/>
          <w:sz w:val="22"/>
          <w:szCs w:val="22"/>
        </w:rPr>
        <w:t xml:space="preserve"> </w:t>
      </w:r>
      <w:r w:rsidRPr="00D25504">
        <w:rPr>
          <w:rStyle w:val="Forte"/>
          <w:rFonts w:ascii="Tahoma" w:hAnsi="Tahoma" w:cs="Tahoma"/>
          <w:sz w:val="22"/>
          <w:szCs w:val="22"/>
        </w:rPr>
        <w:t>risco alto para desastres associados a chuvas e escorregamentos</w:t>
      </w:r>
      <w:r w:rsidRPr="00D25504">
        <w:rPr>
          <w:rFonts w:ascii="Tahoma" w:hAnsi="Tahoma" w:cs="Tahoma"/>
          <w:sz w:val="22"/>
          <w:szCs w:val="22"/>
        </w:rPr>
        <w:t>.</w:t>
      </w:r>
      <w:r w:rsidR="00531033" w:rsidRPr="00D25504">
        <w:rPr>
          <w:rFonts w:ascii="Tahoma" w:hAnsi="Tahoma" w:cs="Tahoma"/>
          <w:sz w:val="22"/>
          <w:szCs w:val="22"/>
        </w:rPr>
        <w:t xml:space="preserve"> Esses episódios, somados ao avanço das construções irregulares em encostas e </w:t>
      </w:r>
      <w:proofErr w:type="spellStart"/>
      <w:r w:rsidR="00531033" w:rsidRPr="00D25504">
        <w:rPr>
          <w:rFonts w:ascii="Tahoma" w:hAnsi="Tahoma" w:cs="Tahoma"/>
          <w:sz w:val="22"/>
          <w:szCs w:val="22"/>
        </w:rPr>
        <w:t>APAs</w:t>
      </w:r>
      <w:proofErr w:type="spellEnd"/>
      <w:r w:rsidR="00531033" w:rsidRPr="00D25504">
        <w:rPr>
          <w:rFonts w:ascii="Tahoma" w:hAnsi="Tahoma" w:cs="Tahoma"/>
          <w:sz w:val="22"/>
          <w:szCs w:val="22"/>
        </w:rPr>
        <w:t>, agravam a vulnerabilidade ambiental e humana, exigindo resposta técnica e institucional permanente.</w:t>
      </w:r>
      <w:r w:rsidR="00F474A8" w:rsidRPr="00D25504">
        <w:rPr>
          <w:rFonts w:ascii="Tahoma" w:hAnsi="Tahoma" w:cs="Tahoma"/>
          <w:sz w:val="22"/>
          <w:szCs w:val="22"/>
        </w:rPr>
        <w:t xml:space="preserve"> Nesse contexto, cabe ao Município retomar, atualizar e consolidar seus instrumentos técnicos de diagnóstico territorial, superando lacunas históricas.</w:t>
      </w:r>
    </w:p>
    <w:p w:rsidR="00B674E2" w:rsidRPr="00D25504" w:rsidRDefault="00F474A8" w:rsidP="00D25504">
      <w:pPr>
        <w:pStyle w:val="NormalWeb"/>
        <w:ind w:firstLine="708"/>
        <w:jc w:val="both"/>
        <w:rPr>
          <w:rFonts w:ascii="Tahoma" w:hAnsi="Tahoma" w:cs="Tahoma"/>
          <w:sz w:val="22"/>
          <w:szCs w:val="22"/>
        </w:rPr>
      </w:pPr>
      <w:r w:rsidRPr="00D25504">
        <w:rPr>
          <w:rFonts w:ascii="Tahoma" w:hAnsi="Tahoma" w:cs="Tahoma"/>
          <w:sz w:val="22"/>
          <w:szCs w:val="22"/>
        </w:rPr>
        <w:t xml:space="preserve">Por exemplo, o </w:t>
      </w:r>
      <w:r w:rsidR="00B674E2" w:rsidRPr="00D25504">
        <w:rPr>
          <w:rStyle w:val="Forte"/>
          <w:rFonts w:ascii="Tahoma" w:hAnsi="Tahoma" w:cs="Tahoma"/>
          <w:sz w:val="22"/>
          <w:szCs w:val="22"/>
        </w:rPr>
        <w:t>último mapeamento geotécnico completo</w:t>
      </w:r>
      <w:r w:rsidR="00B674E2" w:rsidRPr="00D25504">
        <w:rPr>
          <w:rFonts w:ascii="Tahoma" w:hAnsi="Tahoma" w:cs="Tahoma"/>
          <w:sz w:val="22"/>
          <w:szCs w:val="22"/>
        </w:rPr>
        <w:t xml:space="preserve"> do município foi encomendado em 2016, com investimento de R$ 2,5 milhões, mas sofreu atrasos e não foi integralmente concluído, conforme divulgado pelo </w:t>
      </w:r>
      <w:r w:rsidR="00B674E2" w:rsidRPr="00D25504">
        <w:rPr>
          <w:rStyle w:val="nfase"/>
          <w:rFonts w:ascii="Tahoma" w:hAnsi="Tahoma" w:cs="Tahoma"/>
          <w:sz w:val="22"/>
          <w:szCs w:val="22"/>
        </w:rPr>
        <w:t>Jornal O Globo</w:t>
      </w:r>
      <w:r w:rsidR="00B674E2" w:rsidRPr="00D25504">
        <w:rPr>
          <w:rFonts w:ascii="Tahoma" w:hAnsi="Tahoma" w:cs="Tahoma"/>
          <w:sz w:val="22"/>
          <w:szCs w:val="22"/>
        </w:rPr>
        <w:t xml:space="preserve">. Em 2024, nova contratação foi realizada com apoio do </w:t>
      </w:r>
      <w:r w:rsidR="00B674E2" w:rsidRPr="00D25504">
        <w:rPr>
          <w:rStyle w:val="Forte"/>
          <w:rFonts w:ascii="Tahoma" w:hAnsi="Tahoma" w:cs="Tahoma"/>
          <w:sz w:val="22"/>
          <w:szCs w:val="22"/>
        </w:rPr>
        <w:t>Banco Interamericano de Desenvolvimento (BID)</w:t>
      </w:r>
      <w:r w:rsidR="00B674E2" w:rsidRPr="00D25504">
        <w:rPr>
          <w:rFonts w:ascii="Tahoma" w:hAnsi="Tahoma" w:cs="Tahoma"/>
          <w:sz w:val="22"/>
          <w:szCs w:val="22"/>
        </w:rPr>
        <w:t xml:space="preserve">, no valor de R$ 1,48 milhão, visando à atualização das cartas de risco e revisão das áreas críticas. Entretanto, especialistas e o próprio Tribunal de Contas do Estado já alertaram para a necessidade de </w:t>
      </w:r>
      <w:r w:rsidR="00B674E2" w:rsidRPr="00D25504">
        <w:rPr>
          <w:rStyle w:val="Forte"/>
          <w:rFonts w:ascii="Tahoma" w:hAnsi="Tahoma" w:cs="Tahoma"/>
          <w:sz w:val="22"/>
          <w:szCs w:val="22"/>
        </w:rPr>
        <w:t>manter atualização periódica e sistemática</w:t>
      </w:r>
      <w:r w:rsidR="00B674E2" w:rsidRPr="00D25504">
        <w:rPr>
          <w:rFonts w:ascii="Tahoma" w:hAnsi="Tahoma" w:cs="Tahoma"/>
          <w:sz w:val="22"/>
          <w:szCs w:val="22"/>
        </w:rPr>
        <w:t>, garantindo a continuidade técnica dos diagnósticos e planos preventivos. Esse cenário reforça a necessidade de retomar e atualizar os instrumentos de diagnóstico e prevenção com base em dados atualizados, tecnologias modernas e integração sistêmica.</w:t>
      </w:r>
    </w:p>
    <w:p w:rsidR="00F474A8" w:rsidRPr="00D25504" w:rsidRDefault="00F474A8" w:rsidP="00D25504">
      <w:pPr>
        <w:pStyle w:val="NormalWeb"/>
        <w:ind w:firstLine="708"/>
        <w:jc w:val="both"/>
        <w:rPr>
          <w:rFonts w:ascii="Tahoma" w:hAnsi="Tahoma" w:cs="Tahoma"/>
          <w:sz w:val="22"/>
          <w:szCs w:val="22"/>
        </w:rPr>
      </w:pPr>
      <w:r w:rsidRPr="00D25504">
        <w:rPr>
          <w:rFonts w:ascii="Tahoma" w:hAnsi="Tahoma" w:cs="Tahoma"/>
          <w:sz w:val="22"/>
          <w:szCs w:val="22"/>
        </w:rPr>
        <w:t xml:space="preserve">Niterói já adotou instrumentos como o </w:t>
      </w:r>
      <w:r w:rsidRPr="00D25504">
        <w:rPr>
          <w:rStyle w:val="Forte"/>
          <w:rFonts w:ascii="Tahoma" w:hAnsi="Tahoma" w:cs="Tahoma"/>
          <w:sz w:val="22"/>
          <w:szCs w:val="22"/>
        </w:rPr>
        <w:t>Sistema DETEC</w:t>
      </w:r>
      <w:r w:rsidRPr="00D25504">
        <w:rPr>
          <w:rFonts w:ascii="Tahoma" w:hAnsi="Tahoma" w:cs="Tahoma"/>
          <w:sz w:val="22"/>
          <w:szCs w:val="22"/>
        </w:rPr>
        <w:t xml:space="preserve">, com </w:t>
      </w:r>
      <w:proofErr w:type="spellStart"/>
      <w:r w:rsidRPr="00D25504">
        <w:rPr>
          <w:rFonts w:ascii="Tahoma" w:hAnsi="Tahoma" w:cs="Tahoma"/>
          <w:sz w:val="22"/>
          <w:szCs w:val="22"/>
        </w:rPr>
        <w:t>geoprocessamento</w:t>
      </w:r>
      <w:proofErr w:type="spellEnd"/>
      <w:r w:rsidRPr="00D25504">
        <w:rPr>
          <w:rFonts w:ascii="Tahoma" w:hAnsi="Tahoma" w:cs="Tahoma"/>
          <w:sz w:val="22"/>
          <w:szCs w:val="22"/>
        </w:rPr>
        <w:t xml:space="preserve"> para detectar construções em áreas protegidas e de risco, e implantou um </w:t>
      </w:r>
      <w:r w:rsidRPr="00D25504">
        <w:rPr>
          <w:rStyle w:val="Forte"/>
          <w:rFonts w:ascii="Tahoma" w:hAnsi="Tahoma" w:cs="Tahoma"/>
          <w:sz w:val="22"/>
          <w:szCs w:val="22"/>
        </w:rPr>
        <w:t>radar meteorológico Banda X</w:t>
      </w:r>
      <w:r w:rsidRPr="00D25504">
        <w:rPr>
          <w:rFonts w:ascii="Tahoma" w:hAnsi="Tahoma" w:cs="Tahoma"/>
          <w:sz w:val="22"/>
          <w:szCs w:val="22"/>
        </w:rPr>
        <w:t xml:space="preserve">, com cobertura de 100 km para monitoramento em tempo real. No entanto, essas ferramentas são eficazes apenas se acompanhadas por atualização contínua, integração de dados e qualificação técnica de pessoal. É imprescindível que o Município dedique dotação orçamentária e institucional para </w:t>
      </w:r>
      <w:r w:rsidRPr="00D25504">
        <w:rPr>
          <w:rStyle w:val="Forte"/>
          <w:rFonts w:ascii="Tahoma" w:hAnsi="Tahoma" w:cs="Tahoma"/>
          <w:sz w:val="22"/>
          <w:szCs w:val="22"/>
        </w:rPr>
        <w:t xml:space="preserve">manutenção dos sistemas, atualização de base </w:t>
      </w:r>
      <w:r w:rsidRPr="00D25504">
        <w:rPr>
          <w:rStyle w:val="Forte"/>
          <w:rFonts w:ascii="Tahoma" w:hAnsi="Tahoma" w:cs="Tahoma"/>
          <w:sz w:val="22"/>
          <w:szCs w:val="22"/>
        </w:rPr>
        <w:lastRenderedPageBreak/>
        <w:t xml:space="preserve">cartográfica e </w:t>
      </w:r>
      <w:r w:rsidR="00C42405" w:rsidRPr="00D25504">
        <w:rPr>
          <w:rFonts w:ascii="Tahoma" w:hAnsi="Tahoma" w:cs="Tahoma"/>
          <w:sz w:val="22"/>
          <w:szCs w:val="22"/>
        </w:rPr>
        <w:t xml:space="preserve">capacitação técnica das equipes da </w:t>
      </w:r>
      <w:r w:rsidR="00C42405" w:rsidRPr="00D25504">
        <w:rPr>
          <w:rStyle w:val="Forte"/>
          <w:rFonts w:ascii="Tahoma" w:hAnsi="Tahoma" w:cs="Tahoma"/>
          <w:sz w:val="22"/>
          <w:szCs w:val="22"/>
        </w:rPr>
        <w:t>Defesa Civil</w:t>
      </w:r>
      <w:r w:rsidR="00C42405" w:rsidRPr="00D25504">
        <w:rPr>
          <w:rFonts w:ascii="Tahoma" w:hAnsi="Tahoma" w:cs="Tahoma"/>
          <w:sz w:val="22"/>
          <w:szCs w:val="22"/>
        </w:rPr>
        <w:t xml:space="preserve"> e ao fortalecimento dos </w:t>
      </w:r>
      <w:r w:rsidR="00C42405" w:rsidRPr="00D25504">
        <w:rPr>
          <w:rStyle w:val="Forte"/>
          <w:rFonts w:ascii="Tahoma" w:hAnsi="Tahoma" w:cs="Tahoma"/>
          <w:sz w:val="22"/>
          <w:szCs w:val="22"/>
        </w:rPr>
        <w:t>Núcleos Comunitários de Proteção e Defesa Civil (</w:t>
      </w:r>
      <w:proofErr w:type="spellStart"/>
      <w:r w:rsidR="00C42405" w:rsidRPr="00D25504">
        <w:rPr>
          <w:rStyle w:val="Forte"/>
          <w:rFonts w:ascii="Tahoma" w:hAnsi="Tahoma" w:cs="Tahoma"/>
          <w:sz w:val="22"/>
          <w:szCs w:val="22"/>
        </w:rPr>
        <w:t>NUPDECs</w:t>
      </w:r>
      <w:proofErr w:type="spellEnd"/>
      <w:r w:rsidR="00C42405" w:rsidRPr="00D25504">
        <w:rPr>
          <w:rStyle w:val="Forte"/>
          <w:rFonts w:ascii="Tahoma" w:hAnsi="Tahoma" w:cs="Tahoma"/>
          <w:sz w:val="22"/>
          <w:szCs w:val="22"/>
        </w:rPr>
        <w:t>)</w:t>
      </w:r>
      <w:r w:rsidRPr="00D25504">
        <w:rPr>
          <w:rFonts w:ascii="Tahoma" w:hAnsi="Tahoma" w:cs="Tahoma"/>
          <w:sz w:val="22"/>
          <w:szCs w:val="22"/>
        </w:rPr>
        <w:t>, assegurando a eficácia técnica do monitoramento.</w:t>
      </w:r>
    </w:p>
    <w:p w:rsidR="00C42405" w:rsidRPr="00D25504" w:rsidRDefault="00C42405" w:rsidP="00D25504">
      <w:pPr>
        <w:pStyle w:val="NormalWeb"/>
        <w:ind w:firstLine="708"/>
        <w:jc w:val="both"/>
        <w:rPr>
          <w:rFonts w:ascii="Tahoma" w:hAnsi="Tahoma" w:cs="Tahoma"/>
          <w:sz w:val="22"/>
          <w:szCs w:val="22"/>
        </w:rPr>
      </w:pPr>
      <w:r w:rsidRPr="00D25504">
        <w:rPr>
          <w:rFonts w:ascii="Tahoma" w:hAnsi="Tahoma" w:cs="Tahoma"/>
          <w:sz w:val="22"/>
          <w:szCs w:val="22"/>
        </w:rPr>
        <w:t xml:space="preserve">Legalmente, esta iniciativa está respaldada pela </w:t>
      </w:r>
      <w:r w:rsidRPr="00D25504">
        <w:rPr>
          <w:rStyle w:val="Forte"/>
          <w:rFonts w:ascii="Tahoma" w:hAnsi="Tahoma" w:cs="Tahoma"/>
          <w:sz w:val="22"/>
          <w:szCs w:val="22"/>
        </w:rPr>
        <w:t>Lei Federal nº 12.608/2012 (Política Nacional de Proteção e Defesa Civil)</w:t>
      </w:r>
      <w:r w:rsidRPr="00D25504">
        <w:rPr>
          <w:rFonts w:ascii="Tahoma" w:hAnsi="Tahoma" w:cs="Tahoma"/>
          <w:sz w:val="22"/>
          <w:szCs w:val="22"/>
        </w:rPr>
        <w:t xml:space="preserve">, que impõe ao ente municipal a obrigação de manter </w:t>
      </w:r>
      <w:proofErr w:type="gramStart"/>
      <w:r w:rsidRPr="00D25504">
        <w:rPr>
          <w:rFonts w:ascii="Tahoma" w:hAnsi="Tahoma" w:cs="Tahoma"/>
          <w:sz w:val="22"/>
          <w:szCs w:val="22"/>
        </w:rPr>
        <w:t>atualizados planos, cartas de risco e mecanismos de prevenção</w:t>
      </w:r>
      <w:proofErr w:type="gramEnd"/>
      <w:r w:rsidRPr="00D25504">
        <w:rPr>
          <w:rFonts w:ascii="Tahoma" w:hAnsi="Tahoma" w:cs="Tahoma"/>
          <w:sz w:val="22"/>
          <w:szCs w:val="22"/>
        </w:rPr>
        <w:t xml:space="preserve">. Também se articula à </w:t>
      </w:r>
      <w:r w:rsidRPr="00D25504">
        <w:rPr>
          <w:rStyle w:val="Forte"/>
          <w:rFonts w:ascii="Tahoma" w:hAnsi="Tahoma" w:cs="Tahoma"/>
          <w:sz w:val="22"/>
          <w:szCs w:val="22"/>
        </w:rPr>
        <w:t>Lei Federal nº 12.187/2009 (Política Nacional sobre Mudança do Clima)</w:t>
      </w:r>
      <w:r w:rsidRPr="00D25504">
        <w:rPr>
          <w:rFonts w:ascii="Tahoma" w:hAnsi="Tahoma" w:cs="Tahoma"/>
          <w:sz w:val="22"/>
          <w:szCs w:val="22"/>
        </w:rPr>
        <w:t xml:space="preserve">, que consagra a necessidade de instrumentos adaptativos em face das transformações climáticas. No plano constitucional, o </w:t>
      </w:r>
      <w:r w:rsidRPr="00D25504">
        <w:rPr>
          <w:rStyle w:val="Forte"/>
          <w:rFonts w:ascii="Tahoma" w:hAnsi="Tahoma" w:cs="Tahoma"/>
          <w:sz w:val="22"/>
          <w:szCs w:val="22"/>
        </w:rPr>
        <w:t>art. 225 da Constituição Federal</w:t>
      </w:r>
      <w:r w:rsidRPr="00D25504">
        <w:rPr>
          <w:rFonts w:ascii="Tahoma" w:hAnsi="Tahoma" w:cs="Tahoma"/>
          <w:sz w:val="22"/>
          <w:szCs w:val="22"/>
        </w:rPr>
        <w:t xml:space="preserve"> impõe ao Poder Público o dever de preservar o meio ambiente, e o </w:t>
      </w:r>
      <w:r w:rsidRPr="00D25504">
        <w:rPr>
          <w:rStyle w:val="Forte"/>
          <w:rFonts w:ascii="Tahoma" w:hAnsi="Tahoma" w:cs="Tahoma"/>
          <w:sz w:val="22"/>
          <w:szCs w:val="22"/>
        </w:rPr>
        <w:t>art. 196</w:t>
      </w:r>
      <w:r w:rsidRPr="00D25504">
        <w:rPr>
          <w:rFonts w:ascii="Tahoma" w:hAnsi="Tahoma" w:cs="Tahoma"/>
          <w:sz w:val="22"/>
          <w:szCs w:val="22"/>
        </w:rPr>
        <w:t xml:space="preserve"> vincula saúde pública a políticas preventivas, o que inclui proteção contra riscos ambientais e desastres. Em âmbito internacional, a medida está alinhada ao </w:t>
      </w:r>
      <w:r w:rsidRPr="00D25504">
        <w:rPr>
          <w:rStyle w:val="Forte"/>
          <w:rFonts w:ascii="Tahoma" w:hAnsi="Tahoma" w:cs="Tahoma"/>
          <w:sz w:val="22"/>
          <w:szCs w:val="22"/>
        </w:rPr>
        <w:t xml:space="preserve">Marco de </w:t>
      </w:r>
      <w:proofErr w:type="spellStart"/>
      <w:r w:rsidRPr="00D25504">
        <w:rPr>
          <w:rStyle w:val="Forte"/>
          <w:rFonts w:ascii="Tahoma" w:hAnsi="Tahoma" w:cs="Tahoma"/>
          <w:sz w:val="22"/>
          <w:szCs w:val="22"/>
        </w:rPr>
        <w:t>Sendai</w:t>
      </w:r>
      <w:proofErr w:type="spellEnd"/>
      <w:r w:rsidRPr="00D25504">
        <w:rPr>
          <w:rStyle w:val="Forte"/>
          <w:rFonts w:ascii="Tahoma" w:hAnsi="Tahoma" w:cs="Tahoma"/>
          <w:sz w:val="22"/>
          <w:szCs w:val="22"/>
        </w:rPr>
        <w:t xml:space="preserve"> para Redução de Riscos de Desastres (ONU, 2015–2030)</w:t>
      </w:r>
      <w:r w:rsidRPr="00D25504">
        <w:rPr>
          <w:rFonts w:ascii="Tahoma" w:hAnsi="Tahoma" w:cs="Tahoma"/>
          <w:sz w:val="22"/>
          <w:szCs w:val="22"/>
        </w:rPr>
        <w:t>, que preconiza ações preventivas e estruturantes de governança territorial e ambiental.</w:t>
      </w:r>
    </w:p>
    <w:p w:rsidR="00C42405" w:rsidRPr="00D25504" w:rsidRDefault="00D25504" w:rsidP="00D25504">
      <w:pPr>
        <w:pStyle w:val="NormalWeb"/>
        <w:ind w:firstLine="708"/>
        <w:jc w:val="both"/>
        <w:rPr>
          <w:rFonts w:ascii="Tahoma" w:hAnsi="Tahoma" w:cs="Tahoma"/>
          <w:sz w:val="22"/>
          <w:szCs w:val="22"/>
        </w:rPr>
      </w:pPr>
      <w:r w:rsidRPr="00D25504">
        <w:rPr>
          <w:rFonts w:ascii="Tahoma" w:hAnsi="Tahoma" w:cs="Tahoma"/>
          <w:sz w:val="22"/>
          <w:szCs w:val="22"/>
        </w:rPr>
        <w:t xml:space="preserve">No nível municipal, o </w:t>
      </w:r>
      <w:r w:rsidRPr="00D25504">
        <w:rPr>
          <w:rStyle w:val="Forte"/>
          <w:rFonts w:ascii="Tahoma" w:hAnsi="Tahoma" w:cs="Tahoma"/>
          <w:sz w:val="22"/>
          <w:szCs w:val="22"/>
        </w:rPr>
        <w:t>Plano Diretor de Niterói (Lei nº 3.385/2019)</w:t>
      </w:r>
      <w:r w:rsidRPr="00D25504">
        <w:rPr>
          <w:rFonts w:ascii="Tahoma" w:hAnsi="Tahoma" w:cs="Tahoma"/>
          <w:sz w:val="22"/>
          <w:szCs w:val="22"/>
        </w:rPr>
        <w:t xml:space="preserve"> estabelece diretrizes para controle da expansão urbana, uso do solo sustentável e proteção das encostas e áreas frágeis, reforçando a competência do município de regular, planejar e vigiar o território. A consolidação de um programa técnico de mapeamento e monitoramento permanente está em consonância com essas diretrizes municipais e com os compromissos ambientais do município.</w:t>
      </w:r>
    </w:p>
    <w:p w:rsidR="00D25504" w:rsidRPr="00D25504" w:rsidRDefault="00D25504" w:rsidP="00D25504">
      <w:pPr>
        <w:pStyle w:val="NormalWeb"/>
        <w:ind w:firstLine="567"/>
        <w:jc w:val="both"/>
        <w:rPr>
          <w:rFonts w:ascii="Tahoma" w:hAnsi="Tahoma" w:cs="Tahoma"/>
          <w:sz w:val="22"/>
          <w:szCs w:val="22"/>
        </w:rPr>
      </w:pPr>
      <w:r w:rsidRPr="00D25504">
        <w:rPr>
          <w:rFonts w:ascii="Tahoma" w:hAnsi="Tahoma" w:cs="Tahoma"/>
          <w:sz w:val="22"/>
          <w:szCs w:val="22"/>
        </w:rPr>
        <w:t xml:space="preserve">A aprovação desta emenda representa não apenas o cumprimento de obrigações legais e constitucionais, mas também uma medida estratégica para fortalecer a </w:t>
      </w:r>
      <w:proofErr w:type="spellStart"/>
      <w:r w:rsidRPr="00D25504">
        <w:rPr>
          <w:rFonts w:ascii="Tahoma" w:hAnsi="Tahoma" w:cs="Tahoma"/>
          <w:sz w:val="22"/>
          <w:szCs w:val="22"/>
        </w:rPr>
        <w:t>resiliência</w:t>
      </w:r>
      <w:proofErr w:type="spellEnd"/>
      <w:r w:rsidRPr="00D25504">
        <w:rPr>
          <w:rFonts w:ascii="Tahoma" w:hAnsi="Tahoma" w:cs="Tahoma"/>
          <w:sz w:val="22"/>
          <w:szCs w:val="22"/>
        </w:rPr>
        <w:t xml:space="preserve"> urbana, proteger vidas, reduzir custos com intervenções emergenciais e garantir que Niterói passe a contar com uma rede integrada, contínua e tecnicamente apta para prevenir desastres. É uma política pública essencial para o desenvolvimento sustentável e a segurança da população.</w:t>
      </w:r>
    </w:p>
    <w:p w:rsidR="004254F5" w:rsidRDefault="004254F5" w:rsidP="0065715B">
      <w:pPr>
        <w:pStyle w:val="NormalWeb"/>
        <w:spacing w:line="276" w:lineRule="auto"/>
        <w:ind w:firstLine="567"/>
        <w:jc w:val="both"/>
        <w:rPr>
          <w:rFonts w:ascii="Tahoma" w:hAnsi="Tahoma" w:cs="Tahoma"/>
          <w:sz w:val="22"/>
          <w:szCs w:val="22"/>
        </w:rPr>
      </w:pPr>
    </w:p>
    <w:p w:rsidR="00D25504" w:rsidRDefault="00D25504" w:rsidP="0065715B">
      <w:pPr>
        <w:pStyle w:val="NormalWeb"/>
        <w:spacing w:line="276" w:lineRule="auto"/>
        <w:ind w:firstLine="567"/>
        <w:jc w:val="both"/>
        <w:rPr>
          <w:rFonts w:ascii="Tahoma" w:hAnsi="Tahoma" w:cs="Tahoma"/>
          <w:sz w:val="22"/>
          <w:szCs w:val="22"/>
        </w:rPr>
      </w:pPr>
    </w:p>
    <w:p w:rsidR="00D25504" w:rsidRPr="004E7FF0" w:rsidRDefault="00D25504" w:rsidP="0065715B">
      <w:pPr>
        <w:pStyle w:val="NormalWeb"/>
        <w:spacing w:line="276" w:lineRule="auto"/>
        <w:ind w:firstLine="567"/>
        <w:jc w:val="both"/>
        <w:rPr>
          <w:rFonts w:ascii="Tahoma" w:hAnsi="Tahoma" w:cs="Tahoma"/>
          <w:sz w:val="22"/>
          <w:szCs w:val="22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0A51A3">
        <w:rPr>
          <w:rFonts w:ascii="Tahoma" w:eastAsia="Times New Roman" w:hAnsi="Tahoma" w:cs="Tahoma"/>
          <w:color w:val="000000" w:themeColor="text1"/>
          <w:sz w:val="22"/>
          <w:szCs w:val="22"/>
        </w:rPr>
        <w:t>09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A51A3">
        <w:rPr>
          <w:rFonts w:ascii="Tahoma" w:eastAsia="Times New Roman" w:hAnsi="Tahoma" w:cs="Tahoma"/>
          <w:color w:val="000000" w:themeColor="text1"/>
          <w:sz w:val="22"/>
          <w:szCs w:val="22"/>
        </w:rPr>
        <w:t>outu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144864E4" w:rsidRPr="00097064" w:rsidRDefault="00097064" w:rsidP="00E31CCE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7E3AD8">
        <w:rPr>
          <w:rFonts w:ascii="Tahoma" w:eastAsia="Times New Roman" w:hAnsi="Tahoma" w:cs="Tahoma"/>
          <w:b/>
        </w:rPr>
        <w:t>VEREADOR</w:t>
      </w:r>
    </w:p>
    <w:sectPr w:rsidR="144864E4" w:rsidRPr="00097064" w:rsidSect="0026063D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134" w:right="1440" w:bottom="1276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15A8" w:rsidRDefault="002315A8">
      <w:pPr>
        <w:spacing w:after="0" w:line="240" w:lineRule="auto"/>
      </w:pPr>
      <w:r>
        <w:separator/>
      </w:r>
    </w:p>
  </w:endnote>
  <w:endnote w:type="continuationSeparator" w:id="1">
    <w:p w:rsidR="002315A8" w:rsidRDefault="002315A8">
      <w:pPr>
        <w:spacing w:after="0" w:line="240" w:lineRule="auto"/>
      </w:pPr>
      <w:r>
        <w:continuationSeparator/>
      </w:r>
    </w:p>
  </w:endnote>
  <w:endnote w:type="continuationNotice" w:id="2">
    <w:p w:rsidR="002315A8" w:rsidRDefault="002315A8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002315A8" w:rsidTr="2EF02BE8">
      <w:trPr>
        <w:trHeight w:val="300"/>
      </w:trPr>
      <w:tc>
        <w:tcPr>
          <w:tcW w:w="4650" w:type="dxa"/>
        </w:tcPr>
        <w:p w:rsidR="002315A8" w:rsidRDefault="002315A8" w:rsidP="2EF02BE8">
          <w:pPr>
            <w:pStyle w:val="Cabealho"/>
            <w:ind w:left="-115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jc w:val="center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ind w:right="-115"/>
            <w:jc w:val="right"/>
          </w:pPr>
        </w:p>
      </w:tc>
    </w:tr>
  </w:tbl>
  <w:p w:rsidR="002315A8" w:rsidRDefault="002315A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002315A8" w:rsidTr="17F4C8A1">
      <w:trPr>
        <w:trHeight w:val="300"/>
      </w:trPr>
      <w:tc>
        <w:tcPr>
          <w:tcW w:w="3005" w:type="dxa"/>
        </w:tcPr>
        <w:p w:rsidR="002315A8" w:rsidRDefault="002315A8" w:rsidP="17F4C8A1">
          <w:pPr>
            <w:pStyle w:val="Cabealho"/>
            <w:ind w:left="-115"/>
          </w:pPr>
        </w:p>
      </w:tc>
      <w:tc>
        <w:tcPr>
          <w:tcW w:w="3005" w:type="dxa"/>
        </w:tcPr>
        <w:p w:rsidR="002315A8" w:rsidRDefault="002315A8" w:rsidP="17F4C8A1">
          <w:pPr>
            <w:pStyle w:val="Cabealho"/>
            <w:jc w:val="center"/>
          </w:pPr>
        </w:p>
      </w:tc>
      <w:tc>
        <w:tcPr>
          <w:tcW w:w="3005" w:type="dxa"/>
        </w:tcPr>
        <w:p w:rsidR="002315A8" w:rsidRDefault="002315A8" w:rsidP="17F4C8A1">
          <w:pPr>
            <w:pStyle w:val="Cabealho"/>
            <w:ind w:right="-115"/>
            <w:jc w:val="right"/>
          </w:pPr>
        </w:p>
      </w:tc>
    </w:tr>
  </w:tbl>
  <w:p w:rsidR="002315A8" w:rsidRPr="00A63146" w:rsidRDefault="002315A8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2315A8" w:rsidRPr="00A63146" w:rsidRDefault="002315A8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2315A8" w:rsidRPr="001E03A2" w:rsidRDefault="002315A8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2315A8" w:rsidRDefault="002315A8" w:rsidP="17F4C8A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15A8" w:rsidRDefault="002315A8">
      <w:pPr>
        <w:spacing w:after="0" w:line="240" w:lineRule="auto"/>
      </w:pPr>
      <w:r>
        <w:separator/>
      </w:r>
    </w:p>
  </w:footnote>
  <w:footnote w:type="continuationSeparator" w:id="1">
    <w:p w:rsidR="002315A8" w:rsidRDefault="002315A8">
      <w:pPr>
        <w:spacing w:after="0" w:line="240" w:lineRule="auto"/>
      </w:pPr>
      <w:r>
        <w:continuationSeparator/>
      </w:r>
    </w:p>
  </w:footnote>
  <w:footnote w:type="continuationNotice" w:id="2">
    <w:p w:rsidR="002315A8" w:rsidRDefault="002315A8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002315A8" w:rsidTr="2EF02BE8">
      <w:trPr>
        <w:trHeight w:val="300"/>
      </w:trPr>
      <w:tc>
        <w:tcPr>
          <w:tcW w:w="4650" w:type="dxa"/>
        </w:tcPr>
        <w:p w:rsidR="002315A8" w:rsidRDefault="002315A8" w:rsidP="2EF02BE8">
          <w:pPr>
            <w:pStyle w:val="Cabealho"/>
            <w:ind w:left="-115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jc w:val="center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ind w:right="-115"/>
            <w:jc w:val="right"/>
          </w:pPr>
        </w:p>
      </w:tc>
    </w:tr>
  </w:tbl>
  <w:p w:rsidR="002315A8" w:rsidRDefault="002315A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5A8" w:rsidRDefault="002315A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2315A8" w:rsidTr="00B6042D">
      <w:trPr>
        <w:trHeight w:val="1005"/>
        <w:jc w:val="center"/>
      </w:trPr>
      <w:tc>
        <w:tcPr>
          <w:tcW w:w="922" w:type="dxa"/>
        </w:tcPr>
        <w:p w:rsidR="002315A8" w:rsidRDefault="002315A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2315A8" w:rsidRPr="00B6042D" w:rsidRDefault="002315A8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2315A8" w:rsidRDefault="002315A8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002315A8" w:rsidRPr="00617600" w:rsidRDefault="002315A8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002315A8" w:rsidRDefault="002315A8" w:rsidP="001366D8">
          <w:pPr>
            <w:pStyle w:val="Cabealho"/>
            <w:spacing w:after="100" w:afterAutospacing="1"/>
            <w:ind w:right="-115"/>
            <w:jc w:val="right"/>
          </w:pPr>
        </w:p>
        <w:p w:rsidR="002315A8" w:rsidRDefault="002315A8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002315A8" w:rsidRDefault="002315A8" w:rsidP="0026063D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0256C7"/>
    <w:multiLevelType w:val="multilevel"/>
    <w:tmpl w:val="9B349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405B06"/>
    <w:multiLevelType w:val="multilevel"/>
    <w:tmpl w:val="7722D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13916"/>
    <w:rsid w:val="00035428"/>
    <w:rsid w:val="0003548E"/>
    <w:rsid w:val="00052D8E"/>
    <w:rsid w:val="00054265"/>
    <w:rsid w:val="00061687"/>
    <w:rsid w:val="000639DC"/>
    <w:rsid w:val="0007D051"/>
    <w:rsid w:val="00090EAE"/>
    <w:rsid w:val="00097064"/>
    <w:rsid w:val="000A09A8"/>
    <w:rsid w:val="000A51A3"/>
    <w:rsid w:val="000A6FF8"/>
    <w:rsid w:val="000B55B0"/>
    <w:rsid w:val="000D13C1"/>
    <w:rsid w:val="000E47AA"/>
    <w:rsid w:val="00115186"/>
    <w:rsid w:val="00133414"/>
    <w:rsid w:val="001366D8"/>
    <w:rsid w:val="00142600"/>
    <w:rsid w:val="00154F4A"/>
    <w:rsid w:val="001629AF"/>
    <w:rsid w:val="0016365D"/>
    <w:rsid w:val="00166B4D"/>
    <w:rsid w:val="0017175C"/>
    <w:rsid w:val="00175613"/>
    <w:rsid w:val="00193549"/>
    <w:rsid w:val="001C2444"/>
    <w:rsid w:val="001D776D"/>
    <w:rsid w:val="001E6DE5"/>
    <w:rsid w:val="001F00DB"/>
    <w:rsid w:val="001F00E8"/>
    <w:rsid w:val="0021371A"/>
    <w:rsid w:val="002315A8"/>
    <w:rsid w:val="002413CF"/>
    <w:rsid w:val="00241B5C"/>
    <w:rsid w:val="002446BA"/>
    <w:rsid w:val="0024F596"/>
    <w:rsid w:val="0025316D"/>
    <w:rsid w:val="002544FF"/>
    <w:rsid w:val="0026063D"/>
    <w:rsid w:val="0027356A"/>
    <w:rsid w:val="00274EF5"/>
    <w:rsid w:val="00290C18"/>
    <w:rsid w:val="00297C7E"/>
    <w:rsid w:val="002B7763"/>
    <w:rsid w:val="00300683"/>
    <w:rsid w:val="0030528B"/>
    <w:rsid w:val="003521A9"/>
    <w:rsid w:val="0037086E"/>
    <w:rsid w:val="003952BD"/>
    <w:rsid w:val="003B262D"/>
    <w:rsid w:val="003E27B1"/>
    <w:rsid w:val="003F7EA3"/>
    <w:rsid w:val="004254F5"/>
    <w:rsid w:val="00462399"/>
    <w:rsid w:val="00472FD9"/>
    <w:rsid w:val="00480806"/>
    <w:rsid w:val="004818A1"/>
    <w:rsid w:val="00483851"/>
    <w:rsid w:val="00491C80"/>
    <w:rsid w:val="004974CA"/>
    <w:rsid w:val="004B7293"/>
    <w:rsid w:val="004C088F"/>
    <w:rsid w:val="004D6BBD"/>
    <w:rsid w:val="004D70D3"/>
    <w:rsid w:val="004E7FF0"/>
    <w:rsid w:val="004F5BCC"/>
    <w:rsid w:val="005032F1"/>
    <w:rsid w:val="00513098"/>
    <w:rsid w:val="00517ED6"/>
    <w:rsid w:val="00531033"/>
    <w:rsid w:val="00550B65"/>
    <w:rsid w:val="00593F77"/>
    <w:rsid w:val="005954A2"/>
    <w:rsid w:val="0059603D"/>
    <w:rsid w:val="005A5F7D"/>
    <w:rsid w:val="005B3098"/>
    <w:rsid w:val="005B6FC7"/>
    <w:rsid w:val="005C6561"/>
    <w:rsid w:val="005D78C8"/>
    <w:rsid w:val="005F61D3"/>
    <w:rsid w:val="006052E0"/>
    <w:rsid w:val="006062CA"/>
    <w:rsid w:val="00613259"/>
    <w:rsid w:val="00617600"/>
    <w:rsid w:val="006218E8"/>
    <w:rsid w:val="00634548"/>
    <w:rsid w:val="0065575F"/>
    <w:rsid w:val="00655A0E"/>
    <w:rsid w:val="0065715B"/>
    <w:rsid w:val="006579A2"/>
    <w:rsid w:val="00664C81"/>
    <w:rsid w:val="00672549"/>
    <w:rsid w:val="00685585"/>
    <w:rsid w:val="006954B9"/>
    <w:rsid w:val="006A0798"/>
    <w:rsid w:val="006B4461"/>
    <w:rsid w:val="006C6D16"/>
    <w:rsid w:val="006D6577"/>
    <w:rsid w:val="006F340B"/>
    <w:rsid w:val="006F556B"/>
    <w:rsid w:val="00752CEC"/>
    <w:rsid w:val="007A1383"/>
    <w:rsid w:val="007A37B4"/>
    <w:rsid w:val="007C1AE6"/>
    <w:rsid w:val="007D3B94"/>
    <w:rsid w:val="007D7323"/>
    <w:rsid w:val="007F2912"/>
    <w:rsid w:val="007F31FB"/>
    <w:rsid w:val="008010B7"/>
    <w:rsid w:val="008121D4"/>
    <w:rsid w:val="00846004"/>
    <w:rsid w:val="00851251"/>
    <w:rsid w:val="00852AD8"/>
    <w:rsid w:val="00857E8E"/>
    <w:rsid w:val="00865559"/>
    <w:rsid w:val="008A461A"/>
    <w:rsid w:val="008B1755"/>
    <w:rsid w:val="008B5A61"/>
    <w:rsid w:val="0090188D"/>
    <w:rsid w:val="00933039"/>
    <w:rsid w:val="0093567E"/>
    <w:rsid w:val="009823D8"/>
    <w:rsid w:val="00995CC9"/>
    <w:rsid w:val="009E5162"/>
    <w:rsid w:val="009F5E77"/>
    <w:rsid w:val="00A12778"/>
    <w:rsid w:val="00A413E5"/>
    <w:rsid w:val="00A610F0"/>
    <w:rsid w:val="00A67678"/>
    <w:rsid w:val="00A739BF"/>
    <w:rsid w:val="00A74361"/>
    <w:rsid w:val="00A94D43"/>
    <w:rsid w:val="00AC08AA"/>
    <w:rsid w:val="00AE1465"/>
    <w:rsid w:val="00AE25ED"/>
    <w:rsid w:val="00AE4985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593B"/>
    <w:rsid w:val="00B674E2"/>
    <w:rsid w:val="00B74C4B"/>
    <w:rsid w:val="00B75171"/>
    <w:rsid w:val="00B75520"/>
    <w:rsid w:val="00B82A70"/>
    <w:rsid w:val="00B940AE"/>
    <w:rsid w:val="00B974CE"/>
    <w:rsid w:val="00BB7341"/>
    <w:rsid w:val="00BE2B72"/>
    <w:rsid w:val="00BF1152"/>
    <w:rsid w:val="00C10CE3"/>
    <w:rsid w:val="00C362D7"/>
    <w:rsid w:val="00C37FD2"/>
    <w:rsid w:val="00C42405"/>
    <w:rsid w:val="00C62D3E"/>
    <w:rsid w:val="00C6445F"/>
    <w:rsid w:val="00C65043"/>
    <w:rsid w:val="00C83B00"/>
    <w:rsid w:val="00CA7273"/>
    <w:rsid w:val="00CD40DC"/>
    <w:rsid w:val="00CF09BD"/>
    <w:rsid w:val="00CF11F5"/>
    <w:rsid w:val="00D03E13"/>
    <w:rsid w:val="00D11A5C"/>
    <w:rsid w:val="00D16CF0"/>
    <w:rsid w:val="00D17908"/>
    <w:rsid w:val="00D20A60"/>
    <w:rsid w:val="00D20B3D"/>
    <w:rsid w:val="00D25504"/>
    <w:rsid w:val="00D32D37"/>
    <w:rsid w:val="00D67CF7"/>
    <w:rsid w:val="00D87DB0"/>
    <w:rsid w:val="00DB4BE6"/>
    <w:rsid w:val="00DC753D"/>
    <w:rsid w:val="00DD017E"/>
    <w:rsid w:val="00DE167E"/>
    <w:rsid w:val="00E04C8E"/>
    <w:rsid w:val="00E31CCE"/>
    <w:rsid w:val="00E80DFA"/>
    <w:rsid w:val="00E80E8B"/>
    <w:rsid w:val="00E938AA"/>
    <w:rsid w:val="00EA6E88"/>
    <w:rsid w:val="00EC0C72"/>
    <w:rsid w:val="00EC3C66"/>
    <w:rsid w:val="00EDCCB4"/>
    <w:rsid w:val="00EE473C"/>
    <w:rsid w:val="00EE595B"/>
    <w:rsid w:val="00EF5D91"/>
    <w:rsid w:val="00F218A1"/>
    <w:rsid w:val="00F25575"/>
    <w:rsid w:val="00F32976"/>
    <w:rsid w:val="00F36C90"/>
    <w:rsid w:val="00F474A8"/>
    <w:rsid w:val="00F616B2"/>
    <w:rsid w:val="00F71567"/>
    <w:rsid w:val="00F969F5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2"/>
      <o:rules v:ext="edit">
        <o:r id="V:Rule5" type="connector" idref="#_x0000_s2063"/>
        <o:r id="V:Rule6" type="connector" idref="#_x0000_s2064"/>
        <o:r id="V:Rule7" type="connector" idref="#_x0000_s2065"/>
        <o:r id="V:Rule8" type="connector" idref="#_x0000_s206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6C6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6C6D16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121D4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26063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20/10/relationships/intelligence" Target="intelligence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C9E44-6277-4DFE-9206-5DB199138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1137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2025-10-02T19:50:00Z</cp:lastPrinted>
  <dcterms:created xsi:type="dcterms:W3CDTF">2025-10-09T21:57:00Z</dcterms:created>
  <dcterms:modified xsi:type="dcterms:W3CDTF">2025-10-09T21:57:00Z</dcterms:modified>
</cp:coreProperties>
</file>