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intelligence2.xml" ContentType="application/vnd.ms-office.intelligence2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9F74ADB" w:rsidRPr="004D70D3" w:rsidRDefault="09F74ADB" w:rsidP="0EBB4893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EMENDA Nº.  </w:t>
      </w:r>
      <w:r w:rsidR="003C4024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______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ADITIVA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AO PROJETO DE LEI Nº. 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361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/202</w:t>
      </w:r>
      <w:r w:rsidR="22F4E27C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5</w:t>
      </w:r>
    </w:p>
    <w:p w:rsidR="003521A9" w:rsidRPr="001663F5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1663F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Acrescenta-se</w:t>
      </w:r>
      <w:r w:rsidR="00F969F5" w:rsidRPr="001663F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1663F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o Produto</w:t>
      </w:r>
      <w:r w:rsidR="7F06AF26" w:rsidRPr="001663F5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5A38A2" w:rsidRPr="00DE503C">
        <w:rPr>
          <w:rFonts w:ascii="Tahoma" w:eastAsia="Times New Roman" w:hAnsi="Tahoma" w:cs="Tahoma"/>
          <w:b/>
          <w:sz w:val="18"/>
          <w:szCs w:val="18"/>
        </w:rPr>
        <w:t xml:space="preserve">ESTUDO </w:t>
      </w:r>
      <w:r w:rsidR="00DE503C" w:rsidRPr="00DE503C">
        <w:rPr>
          <w:rFonts w:ascii="Tahoma" w:eastAsia="Times New Roman" w:hAnsi="Tahoma" w:cs="Tahoma"/>
          <w:b/>
          <w:sz w:val="18"/>
          <w:szCs w:val="18"/>
        </w:rPr>
        <w:t>TÉCNICO E P</w:t>
      </w:r>
      <w:r w:rsidR="005A38A2" w:rsidRPr="00DE503C">
        <w:rPr>
          <w:rFonts w:ascii="Tahoma" w:eastAsia="Times New Roman" w:hAnsi="Tahoma" w:cs="Tahoma"/>
          <w:b/>
          <w:sz w:val="18"/>
          <w:szCs w:val="18"/>
        </w:rPr>
        <w:t>ROJETO RECIFE ARTIFICIAL</w:t>
      </w:r>
      <w:r w:rsidR="00DE503C" w:rsidRPr="00DE503C">
        <w:rPr>
          <w:rFonts w:ascii="Tahoma" w:eastAsia="Times New Roman" w:hAnsi="Tahoma" w:cs="Tahoma"/>
          <w:b/>
          <w:sz w:val="18"/>
          <w:szCs w:val="18"/>
        </w:rPr>
        <w:t xml:space="preserve"> REALIZADO</w:t>
      </w:r>
      <w:r w:rsidR="005A38A2" w:rsidRPr="00DE503C">
        <w:rPr>
          <w:rFonts w:ascii="Tahoma" w:eastAsia="Times New Roman" w:hAnsi="Tahoma" w:cs="Tahoma"/>
          <w:b/>
          <w:sz w:val="18"/>
          <w:szCs w:val="18"/>
        </w:rPr>
        <w:t xml:space="preserve"> </w:t>
      </w:r>
      <w:r w:rsidRPr="001663F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</w:t>
      </w:r>
      <w:proofErr w:type="gramStart"/>
      <w:r w:rsidRPr="001663F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anexo I </w:t>
      </w:r>
      <w:r w:rsidR="00F95496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e VIII </w:t>
      </w:r>
      <w:r w:rsidRPr="001663F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– Estrutura</w:t>
      </w:r>
      <w:proofErr w:type="gramEnd"/>
      <w:r w:rsidRPr="001663F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Consolidada do Plano Plurianual 2026-2029 para o quadriênio 2026/2029, no </w:t>
      </w:r>
      <w:r w:rsidRPr="00585407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Programa </w:t>
      </w:r>
      <w:r w:rsidR="00585407" w:rsidRPr="00585407">
        <w:rPr>
          <w:rFonts w:ascii="Tahoma" w:hAnsi="Tahoma" w:cs="Tahoma"/>
          <w:b/>
          <w:sz w:val="18"/>
          <w:szCs w:val="18"/>
        </w:rPr>
        <w:t>0137 - CIDADE DO ESPORTE</w:t>
      </w:r>
      <w:r w:rsidRPr="001663F5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1663F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do Projeto de Lei </w:t>
      </w:r>
      <w:r w:rsidR="004D70D3" w:rsidRPr="001663F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361</w:t>
      </w:r>
      <w:r w:rsidRPr="001663F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/202</w:t>
      </w:r>
      <w:r w:rsidR="4BD3FD70" w:rsidRPr="001663F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5</w:t>
      </w:r>
      <w:r w:rsidRPr="001663F5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:rsidR="003521A9" w:rsidRPr="001663F5" w:rsidRDefault="7DEE9414" w:rsidP="34FEDD0E">
      <w:pPr>
        <w:widowControl w:val="0"/>
        <w:spacing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1663F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Art.1º </w:t>
      </w:r>
      <w:proofErr w:type="gramStart"/>
      <w:r w:rsidRPr="001663F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-</w:t>
      </w:r>
      <w:r w:rsidR="2B530AD6" w:rsidRPr="001663F5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</w:t>
      </w:r>
      <w:r w:rsidR="00097064" w:rsidRPr="001663F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crescenta</w:t>
      </w:r>
      <w:proofErr w:type="gramEnd"/>
      <w:r w:rsidR="00097064" w:rsidRPr="001663F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-se o </w:t>
      </w:r>
      <w:r w:rsidR="00097064" w:rsidRPr="001663F5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Produto </w:t>
      </w:r>
      <w:r w:rsidR="00D30ED5" w:rsidRPr="00DE503C">
        <w:rPr>
          <w:rFonts w:ascii="Tahoma" w:eastAsia="Times New Roman" w:hAnsi="Tahoma" w:cs="Tahoma"/>
          <w:b/>
          <w:sz w:val="18"/>
          <w:szCs w:val="18"/>
        </w:rPr>
        <w:t xml:space="preserve">ESTUDO TÉCNICO E PROJETO RECIFE ARTIFICIAL REALIZADO </w:t>
      </w:r>
      <w:r w:rsidR="00097064" w:rsidRPr="001663F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anexo I </w:t>
      </w:r>
      <w:r w:rsidR="00CD1830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e VIII </w:t>
      </w:r>
      <w:r w:rsidR="00097064" w:rsidRPr="001663F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– Estrutura Consolidada do Plano Plurianual 2026-2029 para o quadriênio 2026/2029, no Programa </w:t>
      </w:r>
      <w:r w:rsidR="007A2A56" w:rsidRPr="001663F5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proofErr w:type="spellStart"/>
      <w:r w:rsidR="00585407" w:rsidRPr="00585407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Programa</w:t>
      </w:r>
      <w:proofErr w:type="spellEnd"/>
      <w:r w:rsidR="00585407" w:rsidRPr="00585407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585407" w:rsidRPr="00585407">
        <w:rPr>
          <w:rFonts w:ascii="Tahoma" w:hAnsi="Tahoma" w:cs="Tahoma"/>
          <w:b/>
          <w:sz w:val="18"/>
          <w:szCs w:val="18"/>
        </w:rPr>
        <w:t>0137 - CIDADE DO ESPORTE</w:t>
      </w:r>
      <w:r w:rsidR="00097064" w:rsidRPr="001663F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, do Projeto de Lei 361/2025</w:t>
      </w:r>
      <w:r w:rsidRPr="001663F5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1663F5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1663F5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945"/>
        <w:gridCol w:w="810"/>
        <w:gridCol w:w="1245"/>
        <w:gridCol w:w="67"/>
        <w:gridCol w:w="788"/>
        <w:gridCol w:w="952"/>
        <w:gridCol w:w="345"/>
        <w:gridCol w:w="1245"/>
        <w:gridCol w:w="960"/>
        <w:gridCol w:w="844"/>
        <w:gridCol w:w="480"/>
        <w:gridCol w:w="1332"/>
        <w:gridCol w:w="709"/>
        <w:gridCol w:w="850"/>
        <w:gridCol w:w="1276"/>
        <w:gridCol w:w="1345"/>
      </w:tblGrid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1663F5" w:rsidRDefault="00015E76" w:rsidP="20FF0B1A">
            <w:pPr>
              <w:widowControl w:val="0"/>
              <w:spacing w:after="0"/>
              <w:rPr>
                <w:rFonts w:ascii="Tahoma" w:eastAsia="Times New Roman" w:hAnsi="Tahoma" w:cs="Tahoma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CIDADE DO ESPORTE</w:t>
            </w:r>
            <w:r w:rsidRPr="001663F5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CD1830" w:rsidRDefault="00F95496" w:rsidP="20FF0B1A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 w:themeColor="text1"/>
                <w:sz w:val="16"/>
                <w:szCs w:val="16"/>
              </w:rPr>
            </w:pPr>
            <w:r w:rsidRPr="00CD1830">
              <w:rPr>
                <w:rFonts w:ascii="Tahoma" w:eastAsia="Times New Roman" w:hAnsi="Tahoma" w:cs="Tahoma"/>
                <w:b/>
                <w:sz w:val="16"/>
                <w:szCs w:val="16"/>
              </w:rPr>
              <w:t>ESTUDO TÉCNICO E PROJETO RECIFE ARTIFICIAL REALIZADO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:rsidR="5F7B58E0" w:rsidRPr="007A3E53" w:rsidRDefault="007A3E53" w:rsidP="00015E76">
            <w:pPr>
              <w:pStyle w:val="NormalWeb"/>
              <w:rPr>
                <w:rFonts w:ascii="Tahoma" w:hAnsi="Tahoma" w:cs="Tahoma"/>
                <w:sz w:val="16"/>
                <w:szCs w:val="16"/>
              </w:rPr>
            </w:pPr>
            <w:r w:rsidRPr="00015E76">
              <w:rPr>
                <w:rFonts w:ascii="Tahoma" w:hAnsi="Tahoma" w:cs="Tahoma"/>
                <w:sz w:val="16"/>
                <w:szCs w:val="16"/>
              </w:rPr>
              <w:t xml:space="preserve">Desenvolver estudos e projetos técnicos para a </w:t>
            </w:r>
            <w:r w:rsidRPr="00015E76">
              <w:rPr>
                <w:rStyle w:val="Forte"/>
                <w:rFonts w:ascii="Tahoma" w:hAnsi="Tahoma" w:cs="Tahoma"/>
                <w:sz w:val="16"/>
                <w:szCs w:val="16"/>
              </w:rPr>
              <w:t>implantação de recifes artificiais na orla de Piratininga</w:t>
            </w:r>
            <w:r w:rsidRPr="00015E76">
              <w:rPr>
                <w:rFonts w:ascii="Tahoma" w:hAnsi="Tahoma" w:cs="Tahoma"/>
                <w:sz w:val="16"/>
                <w:szCs w:val="16"/>
              </w:rPr>
              <w:t xml:space="preserve">, com o objetivo de </w:t>
            </w:r>
            <w:r w:rsidRPr="00015E76">
              <w:rPr>
                <w:rStyle w:val="Forte"/>
                <w:rFonts w:ascii="Tahoma" w:hAnsi="Tahoma" w:cs="Tahoma"/>
                <w:sz w:val="16"/>
                <w:szCs w:val="16"/>
              </w:rPr>
              <w:t>reduzir os impactos da erosão costeira, proteger o calçadão e promover a formação de ondas adequadas à prática do surfe</w:t>
            </w:r>
            <w:r w:rsidRPr="00015E76">
              <w:rPr>
                <w:rFonts w:ascii="Tahoma" w:hAnsi="Tahoma" w:cs="Tahoma"/>
                <w:sz w:val="16"/>
                <w:szCs w:val="16"/>
              </w:rPr>
              <w:t xml:space="preserve">, conciliando a </w:t>
            </w:r>
            <w:r w:rsidRPr="00015E76">
              <w:rPr>
                <w:rStyle w:val="Forte"/>
                <w:rFonts w:ascii="Tahoma" w:hAnsi="Tahoma" w:cs="Tahoma"/>
                <w:sz w:val="16"/>
                <w:szCs w:val="16"/>
              </w:rPr>
              <w:t>preservação ambiental</w:t>
            </w:r>
            <w:r w:rsidRPr="00015E76">
              <w:rPr>
                <w:rFonts w:ascii="Tahoma" w:hAnsi="Tahoma" w:cs="Tahoma"/>
                <w:sz w:val="16"/>
                <w:szCs w:val="16"/>
              </w:rPr>
              <w:t xml:space="preserve"> com o </w:t>
            </w:r>
            <w:r w:rsidRPr="00015E76">
              <w:rPr>
                <w:rStyle w:val="Forte"/>
                <w:rFonts w:ascii="Tahoma" w:hAnsi="Tahoma" w:cs="Tahoma"/>
                <w:sz w:val="16"/>
                <w:szCs w:val="16"/>
              </w:rPr>
              <w:t>fomento ao turismo esportivo e sustentável</w:t>
            </w:r>
            <w:r w:rsidRPr="00015E76"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</w:tr>
      <w:tr w:rsidR="5F7B58E0" w:rsidRPr="006579A2" w:rsidTr="00EF1002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015E76" w:rsidRDefault="00015E76" w:rsidP="00112705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015E76">
              <w:rPr>
                <w:rFonts w:ascii="Tahoma" w:hAnsi="Tahoma" w:cs="Tahoma"/>
                <w:sz w:val="18"/>
                <w:szCs w:val="18"/>
              </w:rPr>
              <w:t>SMCDCR</w:t>
            </w:r>
          </w:p>
        </w:tc>
        <w:tc>
          <w:tcPr>
            <w:tcW w:w="1812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4A5549EE" w:rsidRPr="00480806" w:rsidRDefault="4A5549EE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AGENDA TRANSVERSAL</w:t>
            </w:r>
            <w:r w:rsidR="44438084"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418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015E76" w:rsidRDefault="00015E76" w:rsidP="00015E76">
            <w:pPr>
              <w:spacing w:after="0"/>
              <w:rPr>
                <w:rFonts w:ascii="Tahoma" w:eastAsia="Times New Roman" w:hAnsi="Tahoma" w:cs="Tahoma"/>
                <w:sz w:val="18"/>
                <w:szCs w:val="18"/>
              </w:rPr>
            </w:pPr>
            <w:r w:rsidRPr="00015E76">
              <w:rPr>
                <w:rFonts w:ascii="Tahoma" w:hAnsi="Tahoma" w:cs="Tahoma"/>
                <w:sz w:val="18"/>
                <w:szCs w:val="18"/>
              </w:rPr>
              <w:t>N/A</w:t>
            </w:r>
            <w:r w:rsidRPr="00015E76">
              <w:rPr>
                <w:rFonts w:ascii="Tahoma" w:eastAsia="Times New Roman" w:hAnsi="Tahoma" w:cs="Tahoma"/>
                <w:sz w:val="18"/>
                <w:szCs w:val="18"/>
              </w:rPr>
              <w:t xml:space="preserve"> </w:t>
            </w:r>
          </w:p>
        </w:tc>
      </w:tr>
      <w:tr w:rsidR="5F7B58E0" w:rsidRPr="004D70D3" w:rsidTr="00EF1002">
        <w:trPr>
          <w:trHeight w:val="300"/>
        </w:trPr>
        <w:tc>
          <w:tcPr>
            <w:tcW w:w="30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2026</w:t>
            </w: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361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13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Região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8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656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00711356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62" type="#_x0000_t32" style="position:absolute;left:0;text-align:left;margin-left:38.25pt;margin-top:13.5pt;width:0;height:123.25pt;z-index:251671552;mso-position-horizontal-relative:text;mso-position-vertical-relative:text" o:connectortype="straight"/>
              </w:pict>
            </w:r>
            <w:r w:rsidR="5F7B58E0"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13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4D70D3" w:rsidTr="00EF1002">
        <w:trPr>
          <w:trHeight w:val="495"/>
        </w:trPr>
        <w:tc>
          <w:tcPr>
            <w:tcW w:w="9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88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09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00C65043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3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65043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711356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59" type="#_x0000_t32" style="position:absolute;left:0;text-align:left;margin-left:34.35pt;margin-top:-.85pt;width:.8pt;height:96pt;flip:x;z-index:251668480;mso-position-horizontal-relative:text;mso-position-vertical-relative:text" o:connectortype="straight"/>
              </w:pict>
            </w:r>
          </w:p>
        </w:tc>
        <w:tc>
          <w:tcPr>
            <w:tcW w:w="1312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112705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112705">
              <w:rPr>
                <w:rFonts w:ascii="Tahoma" w:hAnsi="Tahoma" w:cs="Tahoma"/>
                <w:sz w:val="16"/>
                <w:szCs w:val="16"/>
              </w:rPr>
              <w:t>1.0</w:t>
            </w:r>
            <w:r w:rsidR="00EF1002">
              <w:rPr>
                <w:rFonts w:ascii="Tahoma" w:hAnsi="Tahoma" w:cs="Tahoma"/>
                <w:sz w:val="16"/>
                <w:szCs w:val="16"/>
              </w:rPr>
              <w:t>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711356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0" type="#_x0000_t32" style="position:absolute;left:0;text-align:left;margin-left:59.65pt;margin-top:-.85pt;width:.8pt;height:96pt;flip:x;z-index:251669504;mso-position-horizontal-relative:text;mso-position-vertical-relative:text" o:connectortype="straight"/>
              </w:pic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112705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112705">
              <w:rPr>
                <w:rFonts w:ascii="Tahoma" w:hAnsi="Tahoma" w:cs="Tahoma"/>
                <w:sz w:val="16"/>
                <w:szCs w:val="16"/>
              </w:rPr>
              <w:t>1.0</w:t>
            </w:r>
            <w:r w:rsidR="00EF1002">
              <w:rPr>
                <w:rFonts w:ascii="Tahoma" w:hAnsi="Tahoma" w:cs="Tahoma"/>
                <w:sz w:val="16"/>
                <w:szCs w:val="16"/>
              </w:rPr>
              <w:t>0</w:t>
            </w:r>
            <w:r w:rsidR="00517ED6">
              <w:rPr>
                <w:rFonts w:ascii="Tahoma" w:hAnsi="Tahoma" w:cs="Tahoma"/>
                <w:sz w:val="16"/>
                <w:szCs w:val="16"/>
              </w:rPr>
              <w:t>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F95496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0</w:t>
            </w:r>
            <w:proofErr w:type="gramEnd"/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711356" w:rsidP="003F387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1" type="#_x0000_t32" style="position:absolute;left:0;text-align:left;margin-left:60.95pt;margin-top:-.1pt;width:.8pt;height:96pt;flip:x;z-index:251670528;mso-position-horizontal-relative:text;mso-position-vertical-relative:text" o:connectortype="straight"/>
              </w:pict>
            </w:r>
          </w:p>
        </w:tc>
        <w:tc>
          <w:tcPr>
            <w:tcW w:w="133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F95496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$ 0,00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F95496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0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3F387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F95496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$ 0,00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Niterói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Leste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Norte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Oceânica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Pendotiba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EF1002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EF1002">
              <w:rPr>
                <w:rFonts w:ascii="Tahoma" w:eastAsia="Times New Roman" w:hAnsi="Tahoma" w:cs="Tahoma"/>
                <w:sz w:val="18"/>
                <w:szCs w:val="18"/>
              </w:rPr>
              <w:t>Praias da Baia</w:t>
            </w:r>
          </w:p>
        </w:tc>
      </w:tr>
    </w:tbl>
    <w:p w:rsidR="003C4024" w:rsidRDefault="003C4024" w:rsidP="003C4024">
      <w:pPr>
        <w:pStyle w:val="NormalWeb"/>
        <w:spacing w:before="0" w:beforeAutospacing="0" w:after="0" w:afterAutospacing="0"/>
        <w:rPr>
          <w:rFonts w:ascii="Tahoma" w:hAnsi="Tahoma" w:cs="Tahoma"/>
          <w:b/>
          <w:bCs/>
          <w:color w:val="000000"/>
          <w:sz w:val="18"/>
          <w:szCs w:val="18"/>
        </w:rPr>
      </w:pPr>
    </w:p>
    <w:p w:rsidR="003C4024" w:rsidRDefault="003C4024" w:rsidP="003C4024">
      <w:pPr>
        <w:pStyle w:val="NormalWeb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 w:rsidRPr="0006677D">
        <w:rPr>
          <w:rFonts w:ascii="Tahoma" w:hAnsi="Tahoma" w:cs="Tahoma"/>
          <w:b/>
          <w:bCs/>
          <w:color w:val="000000"/>
          <w:sz w:val="18"/>
          <w:szCs w:val="18"/>
        </w:rPr>
        <w:t xml:space="preserve">Art. 2º </w:t>
      </w:r>
      <w:r w:rsidRPr="0006677D">
        <w:rPr>
          <w:rFonts w:ascii="Tahoma" w:hAnsi="Tahoma" w:cs="Tahoma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W w:w="142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70"/>
        <w:gridCol w:w="6095"/>
      </w:tblGrid>
      <w:tr w:rsidR="003C4024" w:rsidRPr="00644C75" w:rsidTr="00FD3E61">
        <w:trPr>
          <w:trHeight w:val="300"/>
        </w:trPr>
        <w:tc>
          <w:tcPr>
            <w:tcW w:w="817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3C4024" w:rsidRPr="00F42A07" w:rsidRDefault="003C4024" w:rsidP="00FD3E6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F42A07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CUSTEIO:</w:t>
            </w:r>
          </w:p>
        </w:tc>
        <w:tc>
          <w:tcPr>
            <w:tcW w:w="609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3C4024" w:rsidRPr="00F42A07" w:rsidRDefault="003C4024" w:rsidP="00FD3E6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3C4024" w:rsidRPr="00644C75" w:rsidTr="00FD3E61">
        <w:trPr>
          <w:trHeight w:val="300"/>
        </w:trPr>
        <w:tc>
          <w:tcPr>
            <w:tcW w:w="817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3C4024" w:rsidRPr="00D25835" w:rsidRDefault="003C4024" w:rsidP="00FD3E6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25835">
              <w:rPr>
                <w:rFonts w:ascii="Tahoma" w:hAnsi="Tahoma" w:cs="Tahoma"/>
                <w:sz w:val="16"/>
                <w:szCs w:val="16"/>
              </w:rPr>
              <w:t>0010 | Cidade Urbanizada</w:t>
            </w:r>
          </w:p>
        </w:tc>
        <w:tc>
          <w:tcPr>
            <w:tcW w:w="609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3C4024" w:rsidRPr="00F42A07" w:rsidRDefault="003C4024" w:rsidP="00F9549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F95496">
              <w:rPr>
                <w:rFonts w:ascii="Tahoma" w:hAnsi="Tahoma" w:cs="Tahoma"/>
                <w:sz w:val="16"/>
                <w:szCs w:val="16"/>
              </w:rPr>
              <w:t>2</w:t>
            </w:r>
            <w:r>
              <w:rPr>
                <w:rFonts w:ascii="Tahoma" w:hAnsi="Tahoma" w:cs="Tahoma"/>
                <w:sz w:val="16"/>
                <w:szCs w:val="16"/>
              </w:rPr>
              <w:t>.0</w:t>
            </w:r>
            <w:r w:rsidRPr="00F42A07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</w:tr>
      <w:tr w:rsidR="003C4024" w:rsidRPr="00644C75" w:rsidTr="00FD3E61">
        <w:trPr>
          <w:trHeight w:val="300"/>
        </w:trPr>
        <w:tc>
          <w:tcPr>
            <w:tcW w:w="817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3C4024" w:rsidRPr="00F42A07" w:rsidRDefault="003C4024" w:rsidP="00FD3E6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INVESTIMENTO:</w:t>
            </w:r>
          </w:p>
        </w:tc>
        <w:tc>
          <w:tcPr>
            <w:tcW w:w="609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3C4024" w:rsidRPr="00F42A07" w:rsidRDefault="003C4024" w:rsidP="00FD3E6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3C4024" w:rsidRPr="00644C75" w:rsidTr="00FD3E61">
        <w:trPr>
          <w:trHeight w:val="300"/>
        </w:trPr>
        <w:tc>
          <w:tcPr>
            <w:tcW w:w="817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3C4024" w:rsidRPr="00F42A07" w:rsidRDefault="003C4024" w:rsidP="00FD3E6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>
              <w:rPr>
                <w:rFonts w:ascii="Tahoma" w:hAnsi="Tahoma" w:cs="Tahoma"/>
                <w:sz w:val="16"/>
                <w:szCs w:val="16"/>
              </w:rPr>
              <w:t>0000</w:t>
            </w:r>
            <w:r w:rsidRPr="00F42A07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>
              <w:rPr>
                <w:rFonts w:ascii="Tahoma" w:hAnsi="Tahoma" w:cs="Tahoma"/>
                <w:sz w:val="16"/>
                <w:szCs w:val="16"/>
              </w:rPr>
              <w:t>XXXXXXX</w:t>
            </w:r>
          </w:p>
        </w:tc>
        <w:tc>
          <w:tcPr>
            <w:tcW w:w="609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3C4024" w:rsidRPr="00F42A07" w:rsidRDefault="003C4024" w:rsidP="00FD3E6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Pr="00F42A07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</w:tr>
    </w:tbl>
    <w:p w:rsidR="003111D5" w:rsidRPr="0004748A" w:rsidRDefault="6EB48AD2" w:rsidP="0004748A">
      <w:pPr>
        <w:widowControl w:val="0"/>
        <w:spacing w:line="276" w:lineRule="auto"/>
        <w:rPr>
          <w:rFonts w:ascii="Tahoma" w:eastAsia="Times New Roman" w:hAnsi="Tahoma" w:cs="Tahoma"/>
          <w:b/>
          <w:bCs/>
          <w:color w:val="000000" w:themeColor="text1"/>
        </w:rPr>
      </w:pPr>
      <w:r w:rsidRPr="0004748A">
        <w:rPr>
          <w:rFonts w:ascii="Tahoma" w:eastAsia="Times New Roman" w:hAnsi="Tahoma" w:cs="Tahoma"/>
          <w:b/>
          <w:bCs/>
          <w:color w:val="000000" w:themeColor="text1"/>
        </w:rPr>
        <w:lastRenderedPageBreak/>
        <w:t>JUSTIFICATIVA:</w:t>
      </w:r>
    </w:p>
    <w:p w:rsidR="00A11250" w:rsidRPr="007E75CF" w:rsidRDefault="00FD3E61" w:rsidP="007E75CF">
      <w:pPr>
        <w:pStyle w:val="NormalWeb"/>
        <w:spacing w:line="360" w:lineRule="auto"/>
        <w:ind w:firstLine="708"/>
        <w:jc w:val="both"/>
        <w:rPr>
          <w:rFonts w:ascii="Tahoma" w:hAnsi="Tahoma" w:cs="Tahoma"/>
        </w:rPr>
      </w:pPr>
      <w:r w:rsidRPr="007E75CF">
        <w:rPr>
          <w:rFonts w:ascii="Tahoma" w:hAnsi="Tahoma" w:cs="Tahoma"/>
        </w:rPr>
        <w:t xml:space="preserve">A presente emenda aditiva tem por finalidade incluir no Plano Plurianual 2026–2029 o produto </w:t>
      </w:r>
      <w:r w:rsidRPr="007E75CF">
        <w:rPr>
          <w:rStyle w:val="Forte"/>
          <w:rFonts w:ascii="Tahoma" w:hAnsi="Tahoma" w:cs="Tahoma"/>
        </w:rPr>
        <w:t>“Estudo Técnico e Projeto Recife Artificial Realizado”</w:t>
      </w:r>
      <w:r w:rsidRPr="007E75CF">
        <w:rPr>
          <w:rFonts w:ascii="Tahoma" w:hAnsi="Tahoma" w:cs="Tahoma"/>
        </w:rPr>
        <w:t>, com o objetivo de desenvolver estudos e projetos para a criação de um recife artificial na orla de Piratininga,</w:t>
      </w:r>
      <w:r w:rsidR="00A11250" w:rsidRPr="007E75CF">
        <w:rPr>
          <w:rFonts w:ascii="Tahoma" w:hAnsi="Tahoma" w:cs="Tahoma"/>
        </w:rPr>
        <w:t xml:space="preserve"> medida essencial para o </w:t>
      </w:r>
      <w:r w:rsidR="00A11250" w:rsidRPr="007E75CF">
        <w:rPr>
          <w:rStyle w:val="Forte"/>
          <w:rFonts w:ascii="Tahoma" w:hAnsi="Tahoma" w:cs="Tahoma"/>
        </w:rPr>
        <w:t>enfrentamento da erosão costeira</w:t>
      </w:r>
      <w:r w:rsidR="00A11250" w:rsidRPr="007E75CF">
        <w:rPr>
          <w:rFonts w:ascii="Tahoma" w:hAnsi="Tahoma" w:cs="Tahoma"/>
        </w:rPr>
        <w:t xml:space="preserve"> e para a </w:t>
      </w:r>
      <w:r w:rsidR="00A11250" w:rsidRPr="007E75CF">
        <w:rPr>
          <w:rStyle w:val="Forte"/>
          <w:rFonts w:ascii="Tahoma" w:hAnsi="Tahoma" w:cs="Tahoma"/>
        </w:rPr>
        <w:t>proteção do calçadão e das estruturas urbanas da orla</w:t>
      </w:r>
      <w:r w:rsidR="00A11250" w:rsidRPr="007E75CF">
        <w:rPr>
          <w:rFonts w:ascii="Tahoma" w:hAnsi="Tahoma" w:cs="Tahoma"/>
        </w:rPr>
        <w:t xml:space="preserve">, bem como para o </w:t>
      </w:r>
      <w:r w:rsidR="00A11250" w:rsidRPr="007E75CF">
        <w:rPr>
          <w:rStyle w:val="Forte"/>
          <w:rFonts w:ascii="Tahoma" w:hAnsi="Tahoma" w:cs="Tahoma"/>
        </w:rPr>
        <w:t>fortalecimento do ecossistema marinho</w:t>
      </w:r>
      <w:r w:rsidR="00A11250" w:rsidRPr="007E75CF">
        <w:rPr>
          <w:rFonts w:ascii="Tahoma" w:hAnsi="Tahoma" w:cs="Tahoma"/>
        </w:rPr>
        <w:t xml:space="preserve"> e o </w:t>
      </w:r>
      <w:r w:rsidR="00A11250" w:rsidRPr="007E75CF">
        <w:rPr>
          <w:rStyle w:val="Forte"/>
          <w:rFonts w:ascii="Tahoma" w:hAnsi="Tahoma" w:cs="Tahoma"/>
        </w:rPr>
        <w:t>incentivo à prática esportiva do surfe</w:t>
      </w:r>
      <w:r w:rsidR="00A11250" w:rsidRPr="007E75CF">
        <w:rPr>
          <w:rFonts w:ascii="Tahoma" w:hAnsi="Tahoma" w:cs="Tahoma"/>
        </w:rPr>
        <w:t>, que tem relevância social, turística e econômica no município de Niterói.</w:t>
      </w:r>
    </w:p>
    <w:p w:rsidR="007E75CF" w:rsidRPr="007E75CF" w:rsidRDefault="006724B7" w:rsidP="007E75CF">
      <w:pPr>
        <w:pStyle w:val="NormalWeb"/>
        <w:spacing w:line="360" w:lineRule="auto"/>
        <w:ind w:firstLine="708"/>
        <w:jc w:val="both"/>
        <w:rPr>
          <w:rFonts w:ascii="Tahoma" w:hAnsi="Tahoma" w:cs="Tahoma"/>
        </w:rPr>
      </w:pPr>
      <w:r w:rsidRPr="007E75CF">
        <w:rPr>
          <w:rFonts w:ascii="Tahoma" w:hAnsi="Tahoma" w:cs="Tahoma"/>
        </w:rPr>
        <w:t xml:space="preserve">A proposta está alinhada ao </w:t>
      </w:r>
      <w:r w:rsidRPr="007E75CF">
        <w:rPr>
          <w:rStyle w:val="Forte"/>
          <w:rFonts w:ascii="Tahoma" w:hAnsi="Tahoma" w:cs="Tahoma"/>
        </w:rPr>
        <w:t>Projeto Orla de Niterói</w:t>
      </w:r>
      <w:r w:rsidRPr="007E75CF">
        <w:rPr>
          <w:rFonts w:ascii="Tahoma" w:hAnsi="Tahoma" w:cs="Tahoma"/>
        </w:rPr>
        <w:t xml:space="preserve">, iniciativa coordenada pelo </w:t>
      </w:r>
      <w:r w:rsidRPr="007E75CF">
        <w:rPr>
          <w:rStyle w:val="Forte"/>
          <w:rFonts w:ascii="Tahoma" w:hAnsi="Tahoma" w:cs="Tahoma"/>
        </w:rPr>
        <w:t>Município</w:t>
      </w:r>
      <w:r w:rsidRPr="007E75CF">
        <w:rPr>
          <w:rFonts w:ascii="Tahoma" w:hAnsi="Tahoma" w:cs="Tahoma"/>
        </w:rPr>
        <w:t>, conforme amplamente divulgado em reportagens e comunicados oficiais, desenvolvida em parceria com o Ministério do Meio Ambiente e a Sec</w:t>
      </w:r>
      <w:r w:rsidR="007E75CF" w:rsidRPr="007E75CF">
        <w:rPr>
          <w:rFonts w:ascii="Tahoma" w:hAnsi="Tahoma" w:cs="Tahoma"/>
        </w:rPr>
        <w:t xml:space="preserve">retaria do Patrimônio da União, que promoveu oficinas participativas e vistorias técnicas na orla da cidade, especialmente nas praias oceânicas, com o objetivo de planejar intervenções de proteção costeira, recuperação ambiental e uso sustentável dos espaços litorâneos. </w:t>
      </w:r>
    </w:p>
    <w:p w:rsidR="006B1E87" w:rsidRDefault="006724B7" w:rsidP="007E75CF">
      <w:pPr>
        <w:pStyle w:val="NormalWeb"/>
        <w:spacing w:line="360" w:lineRule="auto"/>
        <w:ind w:firstLine="708"/>
        <w:jc w:val="both"/>
        <w:rPr>
          <w:rFonts w:ascii="Tahoma" w:hAnsi="Tahoma" w:cs="Tahoma"/>
        </w:rPr>
      </w:pPr>
      <w:r w:rsidRPr="007E75CF">
        <w:rPr>
          <w:rFonts w:ascii="Tahoma" w:hAnsi="Tahoma" w:cs="Tahoma"/>
        </w:rPr>
        <w:t xml:space="preserve">Durante as oficinas participativas e vistorias de campo realizadas no âmbito desse projeto, </w:t>
      </w:r>
      <w:r w:rsidR="007E75CF" w:rsidRPr="007E75CF">
        <w:rPr>
          <w:rFonts w:ascii="Tahoma" w:hAnsi="Tahoma" w:cs="Tahoma"/>
        </w:rPr>
        <w:t xml:space="preserve">foi identificado </w:t>
      </w:r>
      <w:proofErr w:type="gramStart"/>
      <w:r w:rsidRPr="007E75CF">
        <w:rPr>
          <w:rStyle w:val="Forte"/>
          <w:rFonts w:ascii="Tahoma" w:hAnsi="Tahoma" w:cs="Tahoma"/>
        </w:rPr>
        <w:t>a</w:t>
      </w:r>
      <w:proofErr w:type="gramEnd"/>
      <w:r w:rsidRPr="007E75CF">
        <w:rPr>
          <w:rStyle w:val="Forte"/>
          <w:rFonts w:ascii="Tahoma" w:hAnsi="Tahoma" w:cs="Tahoma"/>
        </w:rPr>
        <w:t xml:space="preserve"> necessidade de ações estruturais para conter a erosão e proteger o calçadão de Piratininga foi um dos temas mais recorrentes</w:t>
      </w:r>
      <w:r w:rsidRPr="007E75CF">
        <w:rPr>
          <w:rFonts w:ascii="Tahoma" w:hAnsi="Tahoma" w:cs="Tahoma"/>
        </w:rPr>
        <w:t>, sendo apontada pela sociedade civil e por especialistas como prioridade ambiental e urbana</w:t>
      </w:r>
      <w:r w:rsidR="007E75CF" w:rsidRPr="007E75CF">
        <w:rPr>
          <w:rFonts w:ascii="Tahoma" w:hAnsi="Tahoma" w:cs="Tahoma"/>
        </w:rPr>
        <w:t xml:space="preserve">, a adoção medidas que mitiguem a erosão marinha e valorize o uso ambientalmente equilibrado da orla. A implantação de um recife artificial, além de proteger a faixa costeira e reduzir o impacto das ondas sobre a orla, poderá contribuir para o </w:t>
      </w:r>
      <w:r w:rsidR="007E75CF" w:rsidRPr="007E75CF">
        <w:rPr>
          <w:rStyle w:val="Forte"/>
          <w:rFonts w:ascii="Tahoma" w:hAnsi="Tahoma" w:cs="Tahoma"/>
        </w:rPr>
        <w:t>incremento da biodiversidade marinha</w:t>
      </w:r>
      <w:r w:rsidR="007E75CF" w:rsidRPr="007E75CF">
        <w:rPr>
          <w:rFonts w:ascii="Tahoma" w:hAnsi="Tahoma" w:cs="Tahoma"/>
        </w:rPr>
        <w:t xml:space="preserve"> e para o </w:t>
      </w:r>
      <w:r w:rsidR="007E75CF" w:rsidRPr="007E75CF">
        <w:rPr>
          <w:rStyle w:val="Forte"/>
          <w:rFonts w:ascii="Tahoma" w:hAnsi="Tahoma" w:cs="Tahoma"/>
        </w:rPr>
        <w:t>fomento ao turismo esportivo e sustentável</w:t>
      </w:r>
      <w:r w:rsidR="007E75CF" w:rsidRPr="007E75CF">
        <w:rPr>
          <w:rFonts w:ascii="Tahoma" w:hAnsi="Tahoma" w:cs="Tahoma"/>
        </w:rPr>
        <w:t xml:space="preserve">, em especial o surfe, atividade tradicional na região oceânica de Niterói. </w:t>
      </w:r>
    </w:p>
    <w:p w:rsidR="007E75CF" w:rsidRPr="007E75CF" w:rsidRDefault="007E75CF" w:rsidP="007E75CF">
      <w:pPr>
        <w:pStyle w:val="NormalWeb"/>
        <w:spacing w:line="360" w:lineRule="auto"/>
        <w:ind w:firstLine="708"/>
        <w:jc w:val="both"/>
        <w:rPr>
          <w:rFonts w:ascii="Tahoma" w:hAnsi="Tahoma" w:cs="Tahoma"/>
        </w:rPr>
      </w:pPr>
      <w:r w:rsidRPr="007E75CF">
        <w:rPr>
          <w:rFonts w:ascii="Tahoma" w:hAnsi="Tahoma" w:cs="Tahoma"/>
        </w:rPr>
        <w:lastRenderedPageBreak/>
        <w:t xml:space="preserve">Trata-se, portanto, de uma ação integrada que alia </w:t>
      </w:r>
      <w:r w:rsidRPr="007E75CF">
        <w:rPr>
          <w:rStyle w:val="Forte"/>
          <w:rFonts w:ascii="Tahoma" w:hAnsi="Tahoma" w:cs="Tahoma"/>
        </w:rPr>
        <w:t>preservação ambiental, segurança urbana e valorização socioeconômica do território</w:t>
      </w:r>
      <w:r w:rsidRPr="007E75CF">
        <w:rPr>
          <w:rFonts w:ascii="Tahoma" w:hAnsi="Tahoma" w:cs="Tahoma"/>
        </w:rPr>
        <w:t>, sendo uma solução técnica inovadora e de comprovada eficiência em diversas cidades costeiras do país e do mundo.</w:t>
      </w:r>
    </w:p>
    <w:p w:rsidR="006724B7" w:rsidRPr="007E75CF" w:rsidRDefault="00A11250" w:rsidP="007E75CF">
      <w:pPr>
        <w:pStyle w:val="NormalWeb"/>
        <w:spacing w:line="360" w:lineRule="auto"/>
        <w:ind w:firstLine="708"/>
        <w:jc w:val="both"/>
        <w:rPr>
          <w:rFonts w:ascii="Tahoma" w:hAnsi="Tahoma" w:cs="Tahoma"/>
        </w:rPr>
      </w:pPr>
      <w:r w:rsidRPr="007E75CF">
        <w:rPr>
          <w:rFonts w:ascii="Tahoma" w:hAnsi="Tahoma" w:cs="Tahoma"/>
        </w:rPr>
        <w:t>Do ponto de vista legal, a</w:t>
      </w:r>
      <w:r w:rsidRPr="00A11250">
        <w:rPr>
          <w:rFonts w:ascii="Tahoma" w:hAnsi="Tahoma" w:cs="Tahoma"/>
        </w:rPr>
        <w:t xml:space="preserve"> proposta encontra amparo na </w:t>
      </w:r>
      <w:r w:rsidRPr="007E75CF">
        <w:rPr>
          <w:rFonts w:ascii="Tahoma" w:hAnsi="Tahoma" w:cs="Tahoma"/>
          <w:b/>
          <w:bCs/>
        </w:rPr>
        <w:t>Lei Federal nº 7.661/1988</w:t>
      </w:r>
      <w:r w:rsidRPr="00A11250">
        <w:rPr>
          <w:rFonts w:ascii="Tahoma" w:hAnsi="Tahoma" w:cs="Tahoma"/>
        </w:rPr>
        <w:t xml:space="preserve">, que institui o </w:t>
      </w:r>
      <w:r w:rsidRPr="00A11250">
        <w:rPr>
          <w:rFonts w:ascii="Tahoma" w:hAnsi="Tahoma" w:cs="Tahoma"/>
          <w:b/>
        </w:rPr>
        <w:t xml:space="preserve">Plano Nacional de Gerenciamento Costeiro (PNGC), </w:t>
      </w:r>
      <w:r w:rsidRPr="007E75CF">
        <w:rPr>
          <w:rFonts w:ascii="Tahoma" w:hAnsi="Tahoma" w:cs="Tahoma"/>
          <w:b/>
          <w:bCs/>
        </w:rPr>
        <w:t>regulamentada pelo Decreto nº 5.300/2004</w:t>
      </w:r>
      <w:r w:rsidRPr="00A11250">
        <w:rPr>
          <w:rFonts w:ascii="Tahoma" w:hAnsi="Tahoma" w:cs="Tahoma"/>
        </w:rPr>
        <w:t xml:space="preserve">, </w:t>
      </w:r>
      <w:r w:rsidRPr="007E75CF">
        <w:rPr>
          <w:rFonts w:ascii="Tahoma" w:hAnsi="Tahoma" w:cs="Tahoma"/>
        </w:rPr>
        <w:t xml:space="preserve">que </w:t>
      </w:r>
      <w:proofErr w:type="gramStart"/>
      <w:r w:rsidRPr="007E75CF">
        <w:rPr>
          <w:rFonts w:ascii="Tahoma" w:hAnsi="Tahoma" w:cs="Tahoma"/>
        </w:rPr>
        <w:t>estabelece diretrizes</w:t>
      </w:r>
      <w:proofErr w:type="gramEnd"/>
      <w:r w:rsidRPr="007E75CF">
        <w:rPr>
          <w:rFonts w:ascii="Tahoma" w:hAnsi="Tahoma" w:cs="Tahoma"/>
        </w:rPr>
        <w:t xml:space="preserve"> e instrumentos para o uso sustentável da zona costeira, prevendo expressamente a necessidade de planos e ações voltadas à </w:t>
      </w:r>
      <w:r w:rsidRPr="007E75CF">
        <w:rPr>
          <w:rStyle w:val="Forte"/>
          <w:rFonts w:ascii="Tahoma" w:hAnsi="Tahoma" w:cs="Tahoma"/>
        </w:rPr>
        <w:t>proteção e recuperação da orla marítima</w:t>
      </w:r>
      <w:r w:rsidR="006724B7" w:rsidRPr="007E75CF">
        <w:rPr>
          <w:rStyle w:val="Forte"/>
          <w:rFonts w:ascii="Tahoma" w:hAnsi="Tahoma" w:cs="Tahoma"/>
        </w:rPr>
        <w:t xml:space="preserve">. </w:t>
      </w:r>
      <w:r w:rsidR="006724B7" w:rsidRPr="007E75CF">
        <w:rPr>
          <w:rFonts w:ascii="Tahoma" w:hAnsi="Tahoma" w:cs="Tahoma"/>
        </w:rPr>
        <w:t xml:space="preserve">Ademais, a </w:t>
      </w:r>
      <w:r w:rsidR="006724B7" w:rsidRPr="007E75CF">
        <w:rPr>
          <w:rStyle w:val="Forte"/>
          <w:rFonts w:ascii="Tahoma" w:hAnsi="Tahoma" w:cs="Tahoma"/>
        </w:rPr>
        <w:t>Lei Federal nº 14.714, de 30 de outubro de 2023</w:t>
      </w:r>
      <w:r w:rsidR="006724B7" w:rsidRPr="007E75CF">
        <w:rPr>
          <w:rFonts w:ascii="Tahoma" w:hAnsi="Tahoma" w:cs="Tahoma"/>
        </w:rPr>
        <w:t xml:space="preserve">, alterou a legislação do PNGC para reconhecer a </w:t>
      </w:r>
      <w:r w:rsidR="006724B7" w:rsidRPr="007E75CF">
        <w:rPr>
          <w:rStyle w:val="Forte"/>
          <w:rFonts w:ascii="Tahoma" w:hAnsi="Tahoma" w:cs="Tahoma"/>
        </w:rPr>
        <w:t>erosão costeira como problema ambiental de relevância nacional</w:t>
      </w:r>
      <w:r w:rsidR="006724B7" w:rsidRPr="007E75CF">
        <w:rPr>
          <w:rFonts w:ascii="Tahoma" w:hAnsi="Tahoma" w:cs="Tahoma"/>
        </w:rPr>
        <w:t xml:space="preserve">, determinando a adoção de medidas </w:t>
      </w:r>
      <w:r w:rsidR="006724B7" w:rsidRPr="007E75CF">
        <w:rPr>
          <w:rStyle w:val="Forte"/>
          <w:rFonts w:ascii="Tahoma" w:hAnsi="Tahoma" w:cs="Tahoma"/>
        </w:rPr>
        <w:t>preventivas e corretivas</w:t>
      </w:r>
      <w:r w:rsidR="006724B7" w:rsidRPr="007E75CF">
        <w:rPr>
          <w:rFonts w:ascii="Tahoma" w:hAnsi="Tahoma" w:cs="Tahoma"/>
        </w:rPr>
        <w:t xml:space="preserve"> pelos entes federativos. Essa atualização reforça o dever municipal de adotar políticas públicas que minimizem os impactos da erosão sobre o ambiente natural e o patrimônio urbano.</w:t>
      </w:r>
    </w:p>
    <w:p w:rsidR="006724B7" w:rsidRPr="007E75CF" w:rsidRDefault="00A11250" w:rsidP="007E75CF">
      <w:pPr>
        <w:pStyle w:val="NormalWeb"/>
        <w:spacing w:line="360" w:lineRule="auto"/>
        <w:ind w:firstLine="708"/>
        <w:jc w:val="both"/>
        <w:rPr>
          <w:rFonts w:ascii="Tahoma" w:hAnsi="Tahoma" w:cs="Tahoma"/>
        </w:rPr>
      </w:pPr>
      <w:r w:rsidRPr="00A11250">
        <w:rPr>
          <w:rFonts w:ascii="Tahoma" w:hAnsi="Tahoma" w:cs="Tahoma"/>
        </w:rPr>
        <w:t xml:space="preserve"> </w:t>
      </w:r>
      <w:r w:rsidR="006724B7" w:rsidRPr="007E75CF">
        <w:rPr>
          <w:rFonts w:ascii="Tahoma" w:hAnsi="Tahoma" w:cs="Tahoma"/>
        </w:rPr>
        <w:t xml:space="preserve">No plano constitucional, a proposta se fundamenta no </w:t>
      </w:r>
      <w:r w:rsidR="006724B7" w:rsidRPr="007E75CF">
        <w:rPr>
          <w:rStyle w:val="Forte"/>
          <w:rFonts w:ascii="Tahoma" w:hAnsi="Tahoma" w:cs="Tahoma"/>
        </w:rPr>
        <w:t>artigo 225 da Constituição Federal</w:t>
      </w:r>
      <w:r w:rsidR="006724B7" w:rsidRPr="007E75CF">
        <w:rPr>
          <w:rFonts w:ascii="Tahoma" w:hAnsi="Tahoma" w:cs="Tahoma"/>
        </w:rPr>
        <w:t xml:space="preserve">, que assegura a todos o direito ao meio ambiente ecologicamente equilibrado, impondo ao Poder Público e à coletividade o dever de defendê-lo e preservá-lo para </w:t>
      </w:r>
      <w:proofErr w:type="gramStart"/>
      <w:r w:rsidR="006724B7" w:rsidRPr="007E75CF">
        <w:rPr>
          <w:rFonts w:ascii="Tahoma" w:hAnsi="Tahoma" w:cs="Tahoma"/>
        </w:rPr>
        <w:t>as presentes</w:t>
      </w:r>
      <w:proofErr w:type="gramEnd"/>
      <w:r w:rsidR="006724B7" w:rsidRPr="007E75CF">
        <w:rPr>
          <w:rFonts w:ascii="Tahoma" w:hAnsi="Tahoma" w:cs="Tahoma"/>
        </w:rPr>
        <w:t xml:space="preserve"> e futuras gerações. Dessa forma, a elaboração de estudos técnicos para a implantação de recifes artificiais é medida que atende diretamente ao princípio da </w:t>
      </w:r>
      <w:r w:rsidR="006724B7" w:rsidRPr="007E75CF">
        <w:rPr>
          <w:rStyle w:val="Forte"/>
          <w:rFonts w:ascii="Tahoma" w:hAnsi="Tahoma" w:cs="Tahoma"/>
        </w:rPr>
        <w:t>prevenção ambiental</w:t>
      </w:r>
      <w:r w:rsidR="006724B7" w:rsidRPr="007E75CF">
        <w:rPr>
          <w:rFonts w:ascii="Tahoma" w:hAnsi="Tahoma" w:cs="Tahoma"/>
        </w:rPr>
        <w:t>, consagrado no ordenamento jurídico brasileiro.</w:t>
      </w:r>
    </w:p>
    <w:p w:rsidR="00FD3E61" w:rsidRPr="007E75CF" w:rsidRDefault="00FD3E61" w:rsidP="007E75CF">
      <w:pPr>
        <w:pStyle w:val="NormalWeb"/>
        <w:spacing w:line="360" w:lineRule="auto"/>
        <w:ind w:firstLine="708"/>
        <w:jc w:val="both"/>
        <w:rPr>
          <w:rFonts w:ascii="Tahoma" w:hAnsi="Tahoma" w:cs="Tahoma"/>
        </w:rPr>
      </w:pPr>
      <w:r w:rsidRPr="007E75CF">
        <w:rPr>
          <w:rFonts w:ascii="Tahoma" w:hAnsi="Tahoma" w:cs="Tahoma"/>
        </w:rPr>
        <w:t xml:space="preserve">A implantação de recifes artificiais representa uma medida de </w:t>
      </w:r>
      <w:r w:rsidRPr="007E75CF">
        <w:rPr>
          <w:rStyle w:val="Forte"/>
          <w:rFonts w:ascii="Tahoma" w:hAnsi="Tahoma" w:cs="Tahoma"/>
        </w:rPr>
        <w:t>engenharia ambiental preventiva</w:t>
      </w:r>
      <w:r w:rsidRPr="007E75CF">
        <w:rPr>
          <w:rFonts w:ascii="Tahoma" w:hAnsi="Tahoma" w:cs="Tahoma"/>
        </w:rPr>
        <w:t xml:space="preserve">, que alia benefícios ecológicos e urbanos. Ao dissipar a energia das ondas, os recifes contribuem para a </w:t>
      </w:r>
      <w:r w:rsidRPr="007E75CF">
        <w:rPr>
          <w:rStyle w:val="Forte"/>
          <w:rFonts w:ascii="Tahoma" w:hAnsi="Tahoma" w:cs="Tahoma"/>
        </w:rPr>
        <w:t>redução da erosão marinha</w:t>
      </w:r>
      <w:r w:rsidRPr="007E75CF">
        <w:rPr>
          <w:rFonts w:ascii="Tahoma" w:hAnsi="Tahoma" w:cs="Tahoma"/>
        </w:rPr>
        <w:t xml:space="preserve">, protegendo o calçadão e as </w:t>
      </w:r>
      <w:proofErr w:type="spellStart"/>
      <w:r w:rsidRPr="007E75CF">
        <w:rPr>
          <w:rFonts w:ascii="Tahoma" w:hAnsi="Tahoma" w:cs="Tahoma"/>
        </w:rPr>
        <w:t>infraestruturas</w:t>
      </w:r>
      <w:proofErr w:type="spellEnd"/>
      <w:r w:rsidRPr="007E75CF">
        <w:rPr>
          <w:rFonts w:ascii="Tahoma" w:hAnsi="Tahoma" w:cs="Tahoma"/>
        </w:rPr>
        <w:t xml:space="preserve"> públicas da orla de Piratininga. Além disso, atuam como </w:t>
      </w:r>
      <w:r w:rsidRPr="007E75CF">
        <w:rPr>
          <w:rStyle w:val="Forte"/>
          <w:rFonts w:ascii="Tahoma" w:hAnsi="Tahoma" w:cs="Tahoma"/>
        </w:rPr>
        <w:t>abrigos ecológicos</w:t>
      </w:r>
      <w:r w:rsidRPr="007E75CF">
        <w:rPr>
          <w:rFonts w:ascii="Tahoma" w:hAnsi="Tahoma" w:cs="Tahoma"/>
        </w:rPr>
        <w:t xml:space="preserve">, promovendo o </w:t>
      </w:r>
      <w:r w:rsidRPr="007E75CF">
        <w:rPr>
          <w:rFonts w:ascii="Tahoma" w:hAnsi="Tahoma" w:cs="Tahoma"/>
        </w:rPr>
        <w:lastRenderedPageBreak/>
        <w:t xml:space="preserve">aumento da biodiversidade marinha e criando novos ambientes de reprodução e alimentação de espécies aquáticas. Paralelamente, geram </w:t>
      </w:r>
      <w:r w:rsidRPr="007E75CF">
        <w:rPr>
          <w:rStyle w:val="Forte"/>
          <w:rFonts w:ascii="Tahoma" w:hAnsi="Tahoma" w:cs="Tahoma"/>
        </w:rPr>
        <w:t>impactos sociais e econômicos positivos</w:t>
      </w:r>
      <w:r w:rsidRPr="007E75CF">
        <w:rPr>
          <w:rFonts w:ascii="Tahoma" w:hAnsi="Tahoma" w:cs="Tahoma"/>
        </w:rPr>
        <w:t>, ao potencializar o turismo, o esporte e a economia local vinculada ao surfe e ao lazer sustentável.</w:t>
      </w:r>
    </w:p>
    <w:p w:rsidR="00FD3E61" w:rsidRPr="007E75CF" w:rsidRDefault="00FD3E61" w:rsidP="007E75CF">
      <w:pPr>
        <w:pStyle w:val="NormalWeb"/>
        <w:spacing w:line="360" w:lineRule="auto"/>
        <w:ind w:firstLine="567"/>
        <w:jc w:val="both"/>
        <w:rPr>
          <w:rFonts w:ascii="Tahoma" w:hAnsi="Tahoma" w:cs="Tahoma"/>
        </w:rPr>
      </w:pPr>
      <w:r w:rsidRPr="007E75CF">
        <w:rPr>
          <w:rFonts w:ascii="Tahoma" w:hAnsi="Tahoma" w:cs="Tahoma"/>
        </w:rPr>
        <w:t xml:space="preserve">Portanto, a inclusão deste produto no PPA 2026–2029 é medida necessária, técnica e juridicamente adequada, pois viabiliza o início dos estudos de engenharia costeira, avaliação ambiental e projeto executivo para implantação do recife artificial, em consonância com o </w:t>
      </w:r>
      <w:r w:rsidRPr="007E75CF">
        <w:rPr>
          <w:rStyle w:val="Forte"/>
          <w:rFonts w:ascii="Tahoma" w:hAnsi="Tahoma" w:cs="Tahoma"/>
        </w:rPr>
        <w:t>Projeto Orla de Niterói</w:t>
      </w:r>
      <w:r w:rsidRPr="007E75CF">
        <w:rPr>
          <w:rFonts w:ascii="Tahoma" w:hAnsi="Tahoma" w:cs="Tahoma"/>
        </w:rPr>
        <w:t xml:space="preserve">, com as diretrizes do </w:t>
      </w:r>
      <w:r w:rsidRPr="007E75CF">
        <w:rPr>
          <w:rStyle w:val="Forte"/>
          <w:rFonts w:ascii="Tahoma" w:hAnsi="Tahoma" w:cs="Tahoma"/>
        </w:rPr>
        <w:t>Plano Nacional de Gerenciamento Costeiro</w:t>
      </w:r>
      <w:r w:rsidRPr="007E75CF">
        <w:rPr>
          <w:rFonts w:ascii="Tahoma" w:hAnsi="Tahoma" w:cs="Tahoma"/>
        </w:rPr>
        <w:t xml:space="preserve"> e com os princípios constitucionais da </w:t>
      </w:r>
      <w:r w:rsidRPr="007E75CF">
        <w:rPr>
          <w:rStyle w:val="Forte"/>
          <w:rFonts w:ascii="Tahoma" w:hAnsi="Tahoma" w:cs="Tahoma"/>
        </w:rPr>
        <w:t>prevenção, precaução e eficiência administrativa</w:t>
      </w:r>
      <w:r w:rsidRPr="007E75CF">
        <w:rPr>
          <w:rFonts w:ascii="Tahoma" w:hAnsi="Tahoma" w:cs="Tahoma"/>
        </w:rPr>
        <w:t xml:space="preserve">. Trata-se de uma ação estratégica para garantir a </w:t>
      </w:r>
      <w:r w:rsidRPr="007E75CF">
        <w:rPr>
          <w:rStyle w:val="Forte"/>
          <w:rFonts w:ascii="Tahoma" w:hAnsi="Tahoma" w:cs="Tahoma"/>
        </w:rPr>
        <w:t>preservação ambiental, a proteção do patrimônio público e o fortalecimento da imagem de Niterói como cidade sustentável e inovadora na gestão de sua orla marítima</w:t>
      </w:r>
      <w:r w:rsidRPr="007E75CF">
        <w:rPr>
          <w:rFonts w:ascii="Tahoma" w:hAnsi="Tahoma" w:cs="Tahoma"/>
        </w:rPr>
        <w:t>.</w:t>
      </w:r>
    </w:p>
    <w:p w:rsidR="0004748A" w:rsidRPr="007E75CF" w:rsidRDefault="0004748A" w:rsidP="007E75CF">
      <w:pPr>
        <w:widowControl w:val="0"/>
        <w:spacing w:line="360" w:lineRule="auto"/>
        <w:ind w:firstLine="567"/>
        <w:jc w:val="both"/>
        <w:rPr>
          <w:rFonts w:ascii="Tahoma" w:hAnsi="Tahoma" w:cs="Tahoma"/>
        </w:rPr>
      </w:pPr>
      <w:r w:rsidRPr="007E75CF">
        <w:rPr>
          <w:rFonts w:ascii="Tahoma" w:hAnsi="Tahoma" w:cs="Tahoma"/>
        </w:rPr>
        <w:t>Desta forma, contamos com o apoio dos Nobres Pares para a aprovação da presente emenda, assegurando a reserva orçamentária necessária.</w:t>
      </w:r>
    </w:p>
    <w:p w:rsidR="0004748A" w:rsidRPr="007E75CF" w:rsidRDefault="0004748A" w:rsidP="007E75CF">
      <w:pPr>
        <w:widowControl w:val="0"/>
        <w:spacing w:line="360" w:lineRule="auto"/>
        <w:ind w:firstLine="567"/>
        <w:jc w:val="both"/>
        <w:rPr>
          <w:rFonts w:ascii="Tahoma" w:eastAsia="Times New Roman" w:hAnsi="Tahoma" w:cs="Tahoma"/>
          <w:i/>
          <w:iCs/>
          <w:color w:val="000000" w:themeColor="text1"/>
        </w:rPr>
      </w:pPr>
    </w:p>
    <w:p w:rsidR="0004748A" w:rsidRPr="007E75CF" w:rsidRDefault="0004748A" w:rsidP="007E75CF">
      <w:pPr>
        <w:widowControl w:val="0"/>
        <w:spacing w:after="0" w:line="360" w:lineRule="auto"/>
        <w:ind w:left="567"/>
        <w:jc w:val="right"/>
        <w:rPr>
          <w:rFonts w:ascii="Tahoma" w:eastAsia="Times New Roman" w:hAnsi="Tahoma" w:cs="Tahoma"/>
          <w:color w:val="000000" w:themeColor="text1"/>
        </w:rPr>
      </w:pPr>
      <w:r w:rsidRPr="007E75CF">
        <w:rPr>
          <w:rFonts w:ascii="Tahoma" w:eastAsia="Times New Roman" w:hAnsi="Tahoma" w:cs="Tahoma"/>
          <w:color w:val="000000" w:themeColor="text1"/>
        </w:rPr>
        <w:t>Sala das Sessões, 06 de outubro de 2025.</w:t>
      </w:r>
    </w:p>
    <w:p w:rsidR="0004748A" w:rsidRPr="007E75CF" w:rsidRDefault="0004748A" w:rsidP="007E75CF">
      <w:pPr>
        <w:pStyle w:val="normal0"/>
        <w:spacing w:after="0" w:line="360" w:lineRule="auto"/>
        <w:jc w:val="center"/>
        <w:rPr>
          <w:rFonts w:ascii="Tahoma" w:eastAsia="Times New Roman" w:hAnsi="Tahoma" w:cs="Tahoma"/>
          <w:b/>
          <w:sz w:val="24"/>
          <w:szCs w:val="24"/>
        </w:rPr>
      </w:pPr>
    </w:p>
    <w:p w:rsidR="0004748A" w:rsidRPr="007E75CF" w:rsidRDefault="0004748A" w:rsidP="007E75CF">
      <w:pPr>
        <w:pStyle w:val="normal0"/>
        <w:spacing w:after="0" w:line="360" w:lineRule="auto"/>
        <w:jc w:val="center"/>
        <w:rPr>
          <w:rFonts w:ascii="Tahoma" w:eastAsia="Times New Roman" w:hAnsi="Tahoma" w:cs="Tahoma"/>
          <w:b/>
          <w:sz w:val="24"/>
          <w:szCs w:val="24"/>
        </w:rPr>
      </w:pPr>
    </w:p>
    <w:p w:rsidR="0004748A" w:rsidRPr="007E75CF" w:rsidRDefault="0004748A" w:rsidP="007E75CF">
      <w:pPr>
        <w:pStyle w:val="normal0"/>
        <w:spacing w:after="0" w:line="360" w:lineRule="auto"/>
        <w:jc w:val="center"/>
        <w:rPr>
          <w:rFonts w:ascii="Tahoma" w:eastAsia="Times New Roman" w:hAnsi="Tahoma" w:cs="Tahoma"/>
          <w:b/>
          <w:sz w:val="24"/>
          <w:szCs w:val="24"/>
        </w:rPr>
      </w:pPr>
      <w:r w:rsidRPr="007E75CF">
        <w:rPr>
          <w:rFonts w:ascii="Tahoma" w:eastAsia="Times New Roman" w:hAnsi="Tahoma" w:cs="Tahoma"/>
          <w:b/>
          <w:sz w:val="24"/>
          <w:szCs w:val="24"/>
        </w:rPr>
        <w:t>DANIEL MARQUES</w:t>
      </w:r>
    </w:p>
    <w:p w:rsidR="0004748A" w:rsidRPr="007E75CF" w:rsidRDefault="0004748A" w:rsidP="007E75CF">
      <w:pPr>
        <w:pStyle w:val="normal0"/>
        <w:spacing w:after="0" w:line="360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24"/>
          <w:szCs w:val="24"/>
        </w:rPr>
      </w:pPr>
      <w:r w:rsidRPr="007E75CF">
        <w:rPr>
          <w:rFonts w:ascii="Tahoma" w:eastAsia="Times New Roman" w:hAnsi="Tahoma" w:cs="Tahoma"/>
          <w:b/>
          <w:sz w:val="24"/>
          <w:szCs w:val="24"/>
        </w:rPr>
        <w:t>VEREADOR</w:t>
      </w:r>
    </w:p>
    <w:sectPr w:rsidR="0004748A" w:rsidRPr="007E75CF" w:rsidSect="009F5E77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134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7F41" w:rsidRDefault="00AE7F41">
      <w:pPr>
        <w:spacing w:after="0" w:line="240" w:lineRule="auto"/>
      </w:pPr>
      <w:r>
        <w:separator/>
      </w:r>
    </w:p>
  </w:endnote>
  <w:endnote w:type="continuationSeparator" w:id="1">
    <w:p w:rsidR="00AE7F41" w:rsidRDefault="00AE7F41">
      <w:pPr>
        <w:spacing w:after="0" w:line="240" w:lineRule="auto"/>
      </w:pPr>
      <w:r>
        <w:continuationSeparator/>
      </w:r>
    </w:p>
  </w:endnote>
  <w:endnote w:type="continuationNotice" w:id="2">
    <w:p w:rsidR="00AE7F41" w:rsidRDefault="00AE7F41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00FD3E61" w:rsidTr="2EF02BE8">
      <w:trPr>
        <w:trHeight w:val="300"/>
      </w:trPr>
      <w:tc>
        <w:tcPr>
          <w:tcW w:w="4650" w:type="dxa"/>
        </w:tcPr>
        <w:p w:rsidR="00FD3E61" w:rsidRDefault="00FD3E61" w:rsidP="2EF02BE8">
          <w:pPr>
            <w:pStyle w:val="Cabealho"/>
            <w:ind w:left="-115"/>
          </w:pPr>
        </w:p>
      </w:tc>
      <w:tc>
        <w:tcPr>
          <w:tcW w:w="4650" w:type="dxa"/>
        </w:tcPr>
        <w:p w:rsidR="00FD3E61" w:rsidRDefault="00FD3E61" w:rsidP="2EF02BE8">
          <w:pPr>
            <w:pStyle w:val="Cabealho"/>
            <w:jc w:val="center"/>
          </w:pPr>
        </w:p>
      </w:tc>
      <w:tc>
        <w:tcPr>
          <w:tcW w:w="4650" w:type="dxa"/>
        </w:tcPr>
        <w:p w:rsidR="00FD3E61" w:rsidRDefault="00FD3E61" w:rsidP="2EF02BE8">
          <w:pPr>
            <w:pStyle w:val="Cabealho"/>
            <w:ind w:right="-115"/>
            <w:jc w:val="right"/>
          </w:pPr>
        </w:p>
      </w:tc>
    </w:tr>
  </w:tbl>
  <w:p w:rsidR="00FD3E61" w:rsidRDefault="00FD3E61" w:rsidP="2EF02BE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5"/>
      <w:gridCol w:w="3005"/>
      <w:gridCol w:w="3005"/>
    </w:tblGrid>
    <w:tr w:rsidR="00FD3E61" w:rsidTr="17F4C8A1">
      <w:trPr>
        <w:trHeight w:val="300"/>
      </w:trPr>
      <w:tc>
        <w:tcPr>
          <w:tcW w:w="3005" w:type="dxa"/>
        </w:tcPr>
        <w:p w:rsidR="00FD3E61" w:rsidRDefault="00FD3E61" w:rsidP="003111D5">
          <w:pPr>
            <w:pStyle w:val="Cabealho"/>
            <w:ind w:left="-115"/>
            <w:jc w:val="center"/>
          </w:pPr>
        </w:p>
      </w:tc>
      <w:tc>
        <w:tcPr>
          <w:tcW w:w="3005" w:type="dxa"/>
        </w:tcPr>
        <w:p w:rsidR="00FD3E61" w:rsidRDefault="00FD3E61" w:rsidP="17F4C8A1">
          <w:pPr>
            <w:pStyle w:val="Cabealho"/>
            <w:jc w:val="center"/>
          </w:pPr>
          <w:r>
            <w:t xml:space="preserve">                                            </w:t>
          </w:r>
        </w:p>
      </w:tc>
      <w:tc>
        <w:tcPr>
          <w:tcW w:w="3005" w:type="dxa"/>
        </w:tcPr>
        <w:p w:rsidR="00FD3E61" w:rsidRDefault="00FD3E61" w:rsidP="17F4C8A1">
          <w:pPr>
            <w:pStyle w:val="Cabealho"/>
            <w:ind w:right="-115"/>
            <w:jc w:val="right"/>
          </w:pPr>
        </w:p>
      </w:tc>
    </w:tr>
  </w:tbl>
  <w:p w:rsidR="00FD3E61" w:rsidRPr="00A63146" w:rsidRDefault="00FD3E61" w:rsidP="003111D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        </w:t>
    </w: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Av. Amaral Peixoto, 625 / Gabinete 30 – Centro – Niterói – RJ – CEP</w:t>
    </w: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          </w:t>
    </w:r>
    <w:r>
      <w:rPr>
        <w:rFonts w:ascii="Tahoma" w:eastAsia="Tahoma" w:hAnsi="Tahoma" w:cs="Tahoma"/>
        <w:b/>
        <w:color w:val="000000"/>
        <w:sz w:val="16"/>
        <w:szCs w:val="16"/>
      </w:rPr>
      <w:t>RG</w:t>
    </w:r>
  </w:p>
  <w:p w:rsidR="00FD3E61" w:rsidRPr="00A63146" w:rsidRDefault="00FD3E61" w:rsidP="003111D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hAnsi="Tahoma" w:cs="Tahoma"/>
        <w:b/>
        <w:i/>
        <w:color w:val="000000"/>
        <w:sz w:val="16"/>
        <w:szCs w:val="16"/>
      </w:rPr>
    </w:pP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</w:t>
    </w:r>
    <w:proofErr w:type="gramEnd"/>
    <w:r w:rsidRPr="00A63146">
      <w:rPr>
        <w:rFonts w:ascii="Tahoma" w:hAnsi="Tahoma" w:cs="Tahoma"/>
        <w:b/>
        <w:i/>
        <w:color w:val="000000"/>
        <w:sz w:val="16"/>
        <w:szCs w:val="16"/>
      </w:rPr>
      <w:t>1321</w:t>
    </w:r>
    <w:r>
      <w:rPr>
        <w:rFonts w:ascii="Tahoma" w:hAnsi="Tahoma" w:cs="Tahoma"/>
        <w:b/>
        <w:i/>
        <w:color w:val="000000"/>
        <w:sz w:val="16"/>
        <w:szCs w:val="16"/>
      </w:rPr>
      <w:t xml:space="preserve">/ </w:t>
    </w:r>
    <w:proofErr w:type="spellStart"/>
    <w:r>
      <w:rPr>
        <w:rFonts w:ascii="Tahoma" w:hAnsi="Tahoma" w:cs="Tahoma"/>
        <w:b/>
        <w:i/>
        <w:color w:val="000000"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color w:val="000000"/>
        <w:sz w:val="16"/>
        <w:szCs w:val="16"/>
      </w:rPr>
      <w:t xml:space="preserve">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FD3E61" w:rsidRDefault="00FD3E61" w:rsidP="003111D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proofErr w:type="spell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</w:t>
    </w:r>
    <w:proofErr w:type="spell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: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</w:t>
    </w:r>
    <w:hyperlink r:id="rId1" w:history="1">
      <w:r w:rsidRPr="006609F9">
        <w:rPr>
          <w:rStyle w:val="Hyperlink"/>
          <w:rFonts w:ascii="Tahoma" w:eastAsia="Tahoma" w:hAnsi="Tahoma" w:cs="Tahoma"/>
          <w:b/>
          <w:i/>
          <w:sz w:val="16"/>
          <w:szCs w:val="16"/>
        </w:rPr>
        <w:t>vereadordanielmarques@gmail.com</w:t>
      </w:r>
    </w:hyperlink>
  </w:p>
  <w:p w:rsidR="00FD3E61" w:rsidRPr="001E03A2" w:rsidRDefault="00FD3E61" w:rsidP="003111D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  <w:p w:rsidR="00FD3E61" w:rsidRDefault="00FD3E61" w:rsidP="17F4C8A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7F41" w:rsidRDefault="00AE7F41">
      <w:pPr>
        <w:spacing w:after="0" w:line="240" w:lineRule="auto"/>
      </w:pPr>
      <w:r>
        <w:separator/>
      </w:r>
    </w:p>
  </w:footnote>
  <w:footnote w:type="continuationSeparator" w:id="1">
    <w:p w:rsidR="00AE7F41" w:rsidRDefault="00AE7F41">
      <w:pPr>
        <w:spacing w:after="0" w:line="240" w:lineRule="auto"/>
      </w:pPr>
      <w:r>
        <w:continuationSeparator/>
      </w:r>
    </w:p>
  </w:footnote>
  <w:footnote w:type="continuationNotice" w:id="2">
    <w:p w:rsidR="00AE7F41" w:rsidRDefault="00AE7F41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00FD3E61" w:rsidTr="2EF02BE8">
      <w:trPr>
        <w:trHeight w:val="300"/>
      </w:trPr>
      <w:tc>
        <w:tcPr>
          <w:tcW w:w="4650" w:type="dxa"/>
        </w:tcPr>
        <w:p w:rsidR="00FD3E61" w:rsidRDefault="00FD3E61" w:rsidP="2EF02BE8">
          <w:pPr>
            <w:pStyle w:val="Cabealho"/>
            <w:ind w:left="-115"/>
          </w:pPr>
        </w:p>
      </w:tc>
      <w:tc>
        <w:tcPr>
          <w:tcW w:w="4650" w:type="dxa"/>
        </w:tcPr>
        <w:p w:rsidR="00FD3E61" w:rsidRDefault="00FD3E61" w:rsidP="2EF02BE8">
          <w:pPr>
            <w:pStyle w:val="Cabealho"/>
            <w:jc w:val="center"/>
          </w:pPr>
        </w:p>
      </w:tc>
      <w:tc>
        <w:tcPr>
          <w:tcW w:w="4650" w:type="dxa"/>
        </w:tcPr>
        <w:p w:rsidR="00FD3E61" w:rsidRDefault="00FD3E61" w:rsidP="2EF02BE8">
          <w:pPr>
            <w:pStyle w:val="Cabealho"/>
            <w:ind w:right="-115"/>
            <w:jc w:val="right"/>
          </w:pPr>
        </w:p>
      </w:tc>
    </w:tr>
  </w:tbl>
  <w:p w:rsidR="00FD3E61" w:rsidRDefault="00FD3E61" w:rsidP="2EF02BE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E61" w:rsidRDefault="00FD3E61" w:rsidP="00C6445F">
    <w:pPr>
      <w:spacing w:after="100" w:afterAutospacing="1"/>
    </w:pPr>
  </w:p>
  <w:tbl>
    <w:tblPr>
      <w:tblW w:w="7119" w:type="dxa"/>
      <w:jc w:val="center"/>
      <w:tblInd w:w="-316" w:type="dxa"/>
      <w:tblLayout w:type="fixed"/>
      <w:tblLook w:val="06A0"/>
    </w:tblPr>
    <w:tblGrid>
      <w:gridCol w:w="922"/>
      <w:gridCol w:w="5741"/>
      <w:gridCol w:w="456"/>
    </w:tblGrid>
    <w:tr w:rsidR="00FD3E61" w:rsidTr="00B6042D">
      <w:trPr>
        <w:trHeight w:val="1005"/>
        <w:jc w:val="center"/>
      </w:trPr>
      <w:tc>
        <w:tcPr>
          <w:tcW w:w="922" w:type="dxa"/>
        </w:tcPr>
        <w:p w:rsidR="00FD3E61" w:rsidRDefault="00FD3E61" w:rsidP="001366D8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514350" cy="647700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:rsidR="00FD3E61" w:rsidRPr="00B6042D" w:rsidRDefault="00FD3E61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36"/>
              <w:szCs w:val="36"/>
            </w:rPr>
          </w:pPr>
          <w:r w:rsidRPr="00B6042D">
            <w:rPr>
              <w:rFonts w:ascii="Tahoma" w:eastAsia="Tahoma" w:hAnsi="Tahoma" w:cs="Tahoma"/>
              <w:b/>
              <w:color w:val="00000A"/>
              <w:sz w:val="36"/>
              <w:szCs w:val="36"/>
            </w:rPr>
            <w:t>Câmara Municipal de Niterói</w:t>
          </w:r>
        </w:p>
        <w:p w:rsidR="00FD3E61" w:rsidRDefault="00FD3E61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00FD3E61" w:rsidRPr="00617600" w:rsidRDefault="00FD3E61" w:rsidP="00B6042D">
          <w:pPr>
            <w:pStyle w:val="Cabealho"/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  <w:rPr>
              <w:rFonts w:ascii="Tahoma" w:eastAsia="Tahoma" w:hAnsi="Tahoma" w:cs="Tahoma"/>
              <w:b/>
              <w:bCs/>
              <w:color w:val="000000" w:themeColor="text1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Daniel Marques</w:t>
          </w:r>
        </w:p>
      </w:tc>
      <w:tc>
        <w:tcPr>
          <w:tcW w:w="456" w:type="dxa"/>
        </w:tcPr>
        <w:p w:rsidR="00FD3E61" w:rsidRDefault="00FD3E61" w:rsidP="001366D8">
          <w:pPr>
            <w:pStyle w:val="Cabealho"/>
            <w:spacing w:after="100" w:afterAutospacing="1"/>
            <w:ind w:right="-115"/>
            <w:jc w:val="right"/>
          </w:pPr>
        </w:p>
        <w:p w:rsidR="00FD3E61" w:rsidRDefault="00FD3E6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:rsidR="00FD3E61" w:rsidRDefault="00FD3E61" w:rsidP="00D17908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AE7C3A"/>
    <w:multiLevelType w:val="multilevel"/>
    <w:tmpl w:val="393AE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D72799"/>
    <w:multiLevelType w:val="multilevel"/>
    <w:tmpl w:val="B630D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206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5D4B52EA"/>
    <w:rsid w:val="00015E76"/>
    <w:rsid w:val="00035428"/>
    <w:rsid w:val="0003548E"/>
    <w:rsid w:val="0004748A"/>
    <w:rsid w:val="00052D8E"/>
    <w:rsid w:val="00061687"/>
    <w:rsid w:val="000639DC"/>
    <w:rsid w:val="0007D051"/>
    <w:rsid w:val="00090EAE"/>
    <w:rsid w:val="00097064"/>
    <w:rsid w:val="000A09A8"/>
    <w:rsid w:val="000A6FF8"/>
    <w:rsid w:val="000B55B0"/>
    <w:rsid w:val="000D13C1"/>
    <w:rsid w:val="000E47AA"/>
    <w:rsid w:val="00112705"/>
    <w:rsid w:val="00115186"/>
    <w:rsid w:val="00133414"/>
    <w:rsid w:val="001366D8"/>
    <w:rsid w:val="00142600"/>
    <w:rsid w:val="00154F4A"/>
    <w:rsid w:val="001629AF"/>
    <w:rsid w:val="0016365D"/>
    <w:rsid w:val="001663F5"/>
    <w:rsid w:val="0017175C"/>
    <w:rsid w:val="00175613"/>
    <w:rsid w:val="00193549"/>
    <w:rsid w:val="001C2444"/>
    <w:rsid w:val="001F00DB"/>
    <w:rsid w:val="001F00E8"/>
    <w:rsid w:val="001F172E"/>
    <w:rsid w:val="0021371A"/>
    <w:rsid w:val="002413CF"/>
    <w:rsid w:val="00241B5C"/>
    <w:rsid w:val="002446BA"/>
    <w:rsid w:val="0024F596"/>
    <w:rsid w:val="0025316D"/>
    <w:rsid w:val="00290C18"/>
    <w:rsid w:val="00297C7E"/>
    <w:rsid w:val="002B7763"/>
    <w:rsid w:val="00300683"/>
    <w:rsid w:val="0030528B"/>
    <w:rsid w:val="003111D5"/>
    <w:rsid w:val="003521A9"/>
    <w:rsid w:val="0037086E"/>
    <w:rsid w:val="003952BD"/>
    <w:rsid w:val="003C4024"/>
    <w:rsid w:val="003F387F"/>
    <w:rsid w:val="003F7EA3"/>
    <w:rsid w:val="00472FD9"/>
    <w:rsid w:val="00480806"/>
    <w:rsid w:val="004818A1"/>
    <w:rsid w:val="00483851"/>
    <w:rsid w:val="004974CA"/>
    <w:rsid w:val="004B10A7"/>
    <w:rsid w:val="004B7293"/>
    <w:rsid w:val="004C088F"/>
    <w:rsid w:val="004D70D3"/>
    <w:rsid w:val="004F5BCC"/>
    <w:rsid w:val="00513098"/>
    <w:rsid w:val="00517ED6"/>
    <w:rsid w:val="00585407"/>
    <w:rsid w:val="005954A2"/>
    <w:rsid w:val="0059603D"/>
    <w:rsid w:val="00597797"/>
    <w:rsid w:val="005A38A2"/>
    <w:rsid w:val="005A5F7D"/>
    <w:rsid w:val="005A71AA"/>
    <w:rsid w:val="005B3098"/>
    <w:rsid w:val="005B6FC7"/>
    <w:rsid w:val="005C6561"/>
    <w:rsid w:val="005D79C1"/>
    <w:rsid w:val="005F61D3"/>
    <w:rsid w:val="006062CA"/>
    <w:rsid w:val="00613259"/>
    <w:rsid w:val="00617600"/>
    <w:rsid w:val="006218E8"/>
    <w:rsid w:val="006579A2"/>
    <w:rsid w:val="006724B7"/>
    <w:rsid w:val="00672549"/>
    <w:rsid w:val="00685585"/>
    <w:rsid w:val="006954B9"/>
    <w:rsid w:val="006A0798"/>
    <w:rsid w:val="006B1E87"/>
    <w:rsid w:val="006B4461"/>
    <w:rsid w:val="006D6577"/>
    <w:rsid w:val="006F340B"/>
    <w:rsid w:val="00706D54"/>
    <w:rsid w:val="00711356"/>
    <w:rsid w:val="00752CEC"/>
    <w:rsid w:val="007A1383"/>
    <w:rsid w:val="007A2A56"/>
    <w:rsid w:val="007A37B4"/>
    <w:rsid w:val="007A3E53"/>
    <w:rsid w:val="007C1AE6"/>
    <w:rsid w:val="007D3B94"/>
    <w:rsid w:val="007D7323"/>
    <w:rsid w:val="007E75CF"/>
    <w:rsid w:val="007F31FB"/>
    <w:rsid w:val="008010B7"/>
    <w:rsid w:val="0081574A"/>
    <w:rsid w:val="00846004"/>
    <w:rsid w:val="00851251"/>
    <w:rsid w:val="00852AD8"/>
    <w:rsid w:val="00857E8E"/>
    <w:rsid w:val="008A461A"/>
    <w:rsid w:val="008B1755"/>
    <w:rsid w:val="008B5A61"/>
    <w:rsid w:val="008E5FC1"/>
    <w:rsid w:val="0090188D"/>
    <w:rsid w:val="00933039"/>
    <w:rsid w:val="009823D8"/>
    <w:rsid w:val="00995CC9"/>
    <w:rsid w:val="009F5E77"/>
    <w:rsid w:val="00A11250"/>
    <w:rsid w:val="00A23552"/>
    <w:rsid w:val="00A610F0"/>
    <w:rsid w:val="00A739BF"/>
    <w:rsid w:val="00A74361"/>
    <w:rsid w:val="00A94D43"/>
    <w:rsid w:val="00AC08AA"/>
    <w:rsid w:val="00AE1465"/>
    <w:rsid w:val="00AE25ED"/>
    <w:rsid w:val="00AE4AC2"/>
    <w:rsid w:val="00AE6A24"/>
    <w:rsid w:val="00AE7956"/>
    <w:rsid w:val="00AE7F41"/>
    <w:rsid w:val="00AF0E5C"/>
    <w:rsid w:val="00B00430"/>
    <w:rsid w:val="00B05073"/>
    <w:rsid w:val="00B14FF5"/>
    <w:rsid w:val="00B25F82"/>
    <w:rsid w:val="00B26F4D"/>
    <w:rsid w:val="00B530DB"/>
    <w:rsid w:val="00B6042D"/>
    <w:rsid w:val="00B6593B"/>
    <w:rsid w:val="00B74C4B"/>
    <w:rsid w:val="00B75520"/>
    <w:rsid w:val="00B82A70"/>
    <w:rsid w:val="00B940AE"/>
    <w:rsid w:val="00B973F9"/>
    <w:rsid w:val="00B974CE"/>
    <w:rsid w:val="00BB7341"/>
    <w:rsid w:val="00BE2B72"/>
    <w:rsid w:val="00BF1152"/>
    <w:rsid w:val="00C54B2A"/>
    <w:rsid w:val="00C62D3E"/>
    <w:rsid w:val="00C6445F"/>
    <w:rsid w:val="00C65043"/>
    <w:rsid w:val="00C83B00"/>
    <w:rsid w:val="00CC0674"/>
    <w:rsid w:val="00CD1830"/>
    <w:rsid w:val="00CD40DC"/>
    <w:rsid w:val="00CF09BD"/>
    <w:rsid w:val="00CF11F5"/>
    <w:rsid w:val="00D03E13"/>
    <w:rsid w:val="00D11A5C"/>
    <w:rsid w:val="00D17908"/>
    <w:rsid w:val="00D17F2E"/>
    <w:rsid w:val="00D20A60"/>
    <w:rsid w:val="00D20B3D"/>
    <w:rsid w:val="00D30ED5"/>
    <w:rsid w:val="00D32D37"/>
    <w:rsid w:val="00D87DB0"/>
    <w:rsid w:val="00DB4BE6"/>
    <w:rsid w:val="00DE1096"/>
    <w:rsid w:val="00DE167E"/>
    <w:rsid w:val="00DE503C"/>
    <w:rsid w:val="00E04C8E"/>
    <w:rsid w:val="00E10DC3"/>
    <w:rsid w:val="00E80DFA"/>
    <w:rsid w:val="00E80E8B"/>
    <w:rsid w:val="00E938AA"/>
    <w:rsid w:val="00EC0C72"/>
    <w:rsid w:val="00EC3C66"/>
    <w:rsid w:val="00EC7FB3"/>
    <w:rsid w:val="00EDCCB4"/>
    <w:rsid w:val="00EE473C"/>
    <w:rsid w:val="00EE595B"/>
    <w:rsid w:val="00EF1002"/>
    <w:rsid w:val="00EF5D91"/>
    <w:rsid w:val="00F218A1"/>
    <w:rsid w:val="00F32976"/>
    <w:rsid w:val="00F36C90"/>
    <w:rsid w:val="00F71567"/>
    <w:rsid w:val="00F95496"/>
    <w:rsid w:val="00F969F5"/>
    <w:rsid w:val="00FB3FFD"/>
    <w:rsid w:val="00FD3E61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7094797"/>
    <w:rsid w:val="07329B00"/>
    <w:rsid w:val="0734BC4B"/>
    <w:rsid w:val="076B45EE"/>
    <w:rsid w:val="078AE7F2"/>
    <w:rsid w:val="079487D0"/>
    <w:rsid w:val="07B42531"/>
    <w:rsid w:val="07C0258B"/>
    <w:rsid w:val="07D56188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F85133"/>
    <w:rsid w:val="124F071F"/>
    <w:rsid w:val="1274F67B"/>
    <w:rsid w:val="12803FEA"/>
    <w:rsid w:val="128157A1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8FB1B"/>
    <w:rsid w:val="1B0AB24A"/>
    <w:rsid w:val="1B299C80"/>
    <w:rsid w:val="1B39F323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40095AB"/>
    <w:rsid w:val="34239CA3"/>
    <w:rsid w:val="342A7FA1"/>
    <w:rsid w:val="34524FBA"/>
    <w:rsid w:val="346ECD60"/>
    <w:rsid w:val="349A9550"/>
    <w:rsid w:val="34CA1605"/>
    <w:rsid w:val="34D2CF8C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D8C03"/>
    <w:rsid w:val="3FE5CA2F"/>
    <w:rsid w:val="3FF4B2D1"/>
    <w:rsid w:val="4019CD42"/>
    <w:rsid w:val="4025B8B6"/>
    <w:rsid w:val="4050F1E6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BAC39C"/>
    <w:rsid w:val="46E032AE"/>
    <w:rsid w:val="46E3C905"/>
    <w:rsid w:val="46EE5980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FD2EC5"/>
    <w:rsid w:val="62394F95"/>
    <w:rsid w:val="623CF275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9001512"/>
    <w:rsid w:val="69D419F6"/>
    <w:rsid w:val="6A02D6C0"/>
    <w:rsid w:val="6A0B3E7E"/>
    <w:rsid w:val="6A301069"/>
    <w:rsid w:val="6A372B22"/>
    <w:rsid w:val="6A3B5971"/>
    <w:rsid w:val="6A5FD681"/>
    <w:rsid w:val="6AADEEDA"/>
    <w:rsid w:val="6ABFC406"/>
    <w:rsid w:val="6ACEA91C"/>
    <w:rsid w:val="6AEF435D"/>
    <w:rsid w:val="6B578968"/>
    <w:rsid w:val="6B8316DC"/>
    <w:rsid w:val="6B948DFD"/>
    <w:rsid w:val="6BA13BC8"/>
    <w:rsid w:val="6C22F245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BAA35"/>
    <w:rsid w:val="7EB4A168"/>
    <w:rsid w:val="7F06AF26"/>
    <w:rsid w:val="7F48AF1A"/>
    <w:rsid w:val="7F6F9A91"/>
    <w:rsid w:val="7FCE2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2"/>
      <o:rules v:ext="edit">
        <o:r id="V:Rule5" type="connector" idref="#_x0000_s2060"/>
        <o:r id="V:Rule6" type="connector" idref="#_x0000_s2061"/>
        <o:r id="V:Rule7" type="connector" idref="#_x0000_s2062"/>
        <o:r id="V:Rule8" type="connector" idref="#_x0000_s205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186"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518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5186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5186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75C"/>
    <w:rPr>
      <w:rFonts w:ascii="Tahoma" w:hAnsi="Tahoma" w:cs="Tahoma"/>
      <w:sz w:val="16"/>
      <w:szCs w:val="16"/>
    </w:rPr>
  </w:style>
  <w:style w:type="paragraph" w:customStyle="1" w:styleId="normal0">
    <w:name w:val="normal"/>
    <w:rsid w:val="00B6042D"/>
    <w:pPr>
      <w:spacing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NormalWeb">
    <w:name w:val="Normal (Web)"/>
    <w:basedOn w:val="Normal"/>
    <w:uiPriority w:val="99"/>
    <w:unhideWhenUsed/>
    <w:rsid w:val="00EF1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EF1002"/>
    <w:rPr>
      <w:b/>
      <w:bCs/>
    </w:rPr>
  </w:style>
  <w:style w:type="character" w:styleId="Hyperlink">
    <w:name w:val="Hyperlink"/>
    <w:basedOn w:val="Fontepargpadro"/>
    <w:uiPriority w:val="99"/>
    <w:unhideWhenUsed/>
    <w:rsid w:val="003C4024"/>
    <w:rPr>
      <w:color w:val="467886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762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20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5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8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026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547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307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62195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26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8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0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20/10/relationships/intelligence" Target="intelligence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danielmarques@gmail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4AE714-B12C-4663-9EB7-9FB62EDA5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1042</Words>
  <Characters>5629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Ricardo Gacia</cp:lastModifiedBy>
  <cp:revision>2</cp:revision>
  <cp:lastPrinted>2025-09-03T20:22:00Z</cp:lastPrinted>
  <dcterms:created xsi:type="dcterms:W3CDTF">2025-10-08T16:27:00Z</dcterms:created>
  <dcterms:modified xsi:type="dcterms:W3CDTF">2025-10-08T16:27:00Z</dcterms:modified>
</cp:coreProperties>
</file>