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A9066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B973F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3203B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CONVENIO PESAGRO – CREMATÓRIO ANIMAL </w:t>
      </w:r>
      <w:r w:rsidR="00A23552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IMPLANTA</w:t>
      </w:r>
      <w:r w:rsidR="00EF360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DO</w:t>
      </w:r>
      <w:r w:rsidR="00A23552" w:rsidRPr="00B973F9">
        <w:rPr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3C2B4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B973F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B973F9">
        <w:rPr>
          <w:rFonts w:ascii="Tahoma" w:hAnsi="Tahoma" w:cs="Tahoma"/>
          <w:b/>
          <w:sz w:val="18"/>
          <w:szCs w:val="18"/>
        </w:rPr>
        <w:t>ANIMAL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B973F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B973F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A00F6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CONVENIO PESAGRO – CREMATÓRIO ANIMAL </w:t>
      </w:r>
      <w:r w:rsidR="00A00F6B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IMPLANTA</w:t>
      </w:r>
      <w:r w:rsidR="00A00F6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DO</w:t>
      </w:r>
      <w:r w:rsidR="00A00F6B" w:rsidRPr="00B973F9">
        <w:rPr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3C2B4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3C2B48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B973F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00A00F6B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CONVENIO PESAGRO – CREMATÓRIO ANIMAL </w:t>
            </w:r>
            <w:r w:rsidRPr="00B973F9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IMPLANTA</w:t>
            </w: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74AEF" w:rsidRDefault="00974AEF" w:rsidP="00A00F6B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Implantação </w:t>
            </w:r>
            <w:r w:rsidRPr="00974AEF">
              <w:rPr>
                <w:rFonts w:ascii="Tahoma" w:hAnsi="Tahoma" w:cs="Tahoma"/>
                <w:sz w:val="16"/>
                <w:szCs w:val="16"/>
              </w:rPr>
              <w:t>de convênio com a Empresa de Pesquisa Agropecuária do Estado do Rio de Janeiro (PESAGRO-RJ), visando viabilizar a implementação de protocolo específico para a correta destinação, tratamento, transporte e incineração de carcaças de animais encontrados em vias e logradouros públicos do município, assegurando a destinação ambientalmente adequada, prevenindo riscos à saúde pública, evitando descartes irregulares e contribuindo para o cumprimento das diretrizes de proteção animal e sustentabilidade urbana</w:t>
            </w:r>
            <w:r w:rsidR="00EF3602" w:rsidRPr="00974AEF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23552" w:rsidRDefault="00A23552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A5308F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3C2B48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C2B48" w:rsidP="003C2B4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8.65pt;margin-top:.25pt;width:.8pt;height:96pt;flip:x;z-index:25166848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3C2B4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3C2B48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C2B4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C2B48" w:rsidP="003C2B4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A5308F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98657C"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2E1F0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A5308F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98657C"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2E1F0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E1F01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98657C"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3C2B4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A9066F" w:rsidRDefault="00A9066F" w:rsidP="00A9066F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811B66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11A6">
              <w:rPr>
                <w:rFonts w:ascii="Tahoma" w:hAnsi="Tahoma" w:cs="Tahoma"/>
                <w:sz w:val="16"/>
                <w:szCs w:val="16"/>
              </w:rPr>
              <w:t>0136 | Cultura é um Direito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A57A4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A57A45">
              <w:rPr>
                <w:rFonts w:ascii="Tahoma" w:hAnsi="Tahoma" w:cs="Tahoma"/>
                <w:sz w:val="16"/>
                <w:szCs w:val="16"/>
              </w:rPr>
              <w:t>1.0</w:t>
            </w:r>
            <w:r w:rsidR="002E1F01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9066F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9066F" w:rsidRPr="00DA19EB" w:rsidRDefault="00A9066F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A presente emenda propõe a celebração de convênio entre o Município de Niterói e a Empresa de Pesquisa Agropecuária do Estado do Rio de Janeiro (PESAGRO-RJ), com vistas à implantação de protocolo específico para a destinação, transporte, tratamento e incineração de carcaças de animais encontrados em vias públicas, logradouros municipais e em decorrência de programas de controle populacional e proteção animal.</w:t>
      </w:r>
    </w:p>
    <w:p w:rsidR="000A3A4F" w:rsidRPr="006F62FF" w:rsidRDefault="000A3A4F" w:rsidP="000A3A4F">
      <w:pPr>
        <w:pStyle w:val="NormalWeb"/>
        <w:ind w:firstLine="708"/>
        <w:jc w:val="both"/>
        <w:rPr>
          <w:rFonts w:ascii="Tahoma" w:hAnsi="Tahoma" w:cs="Tahoma"/>
        </w:rPr>
      </w:pPr>
      <w:r w:rsidRPr="006F62FF">
        <w:rPr>
          <w:rFonts w:ascii="Tahoma" w:hAnsi="Tahoma" w:cs="Tahoma"/>
        </w:rPr>
        <w:t>Atualmente, a destinação desses resíduos é realizada pela empresa responsável pela limpeza urbana, que, embora execute a remoção, não adota procedimentos técnicos específicos exigidos para esse tipo de resíduo biológico. Esse manejo inadequado representa sério risco ambiental, pois a decomposição de materiais orgânicos pode contaminar o solo, comprometer o lençol freático e favorecer a proliferação de agentes patogênicos.</w:t>
      </w:r>
    </w:p>
    <w:p w:rsidR="000A3A4F" w:rsidRPr="006F62FF" w:rsidRDefault="000A3A4F" w:rsidP="000A3A4F">
      <w:pPr>
        <w:pStyle w:val="NormalWeb"/>
        <w:ind w:firstLine="708"/>
        <w:jc w:val="both"/>
        <w:rPr>
          <w:rFonts w:ascii="Tahoma" w:hAnsi="Tahoma" w:cs="Tahoma"/>
        </w:rPr>
      </w:pPr>
      <w:r w:rsidRPr="006F62FF">
        <w:rPr>
          <w:rFonts w:ascii="Tahoma" w:hAnsi="Tahoma" w:cs="Tahoma"/>
        </w:rPr>
        <w:t>Além dos impactos ambientais, há evidente risco sanitário. Carcaças de animais podem ser vetores de zoonoses, como a esporotricose — já reconhecida como problema de saúde pública em diversas cidades do Estado do Rio de Janeiro — além de outras enfermidades como leptospirose. Esses riscos impactam diretamente a saúde da população e geram custos significativos ao sistema público de saúde.</w:t>
      </w:r>
    </w:p>
    <w:p w:rsidR="000A3A4F" w:rsidRPr="000A3A4F" w:rsidRDefault="000A3A4F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A3A4F">
        <w:rPr>
          <w:rFonts w:ascii="Tahoma" w:hAnsi="Tahoma" w:cs="Tahoma"/>
        </w:rPr>
        <w:t xml:space="preserve">A </w:t>
      </w:r>
      <w:r w:rsidRPr="000A3A4F">
        <w:rPr>
          <w:rStyle w:val="Forte"/>
          <w:rFonts w:ascii="Tahoma" w:hAnsi="Tahoma" w:cs="Tahoma"/>
        </w:rPr>
        <w:t>PESAGRO-RJ</w:t>
      </w:r>
      <w:r w:rsidRPr="000A3A4F">
        <w:rPr>
          <w:rFonts w:ascii="Tahoma" w:hAnsi="Tahoma" w:cs="Tahoma"/>
        </w:rPr>
        <w:t>, entidade pública estadual vinculada à Secretaria de Estado de Agricultura, Pecuária, Pesca e Abastecimento, dispõe de estrutura técnica e profissionais especializados para o manejo seguro e eficiente de resíduos de origem animal. A formalização de convênio com este órgão permitirá a Niterói adotar um modelo de gestão que observe as normas ambientais, sanitárias e de saúde pública, garantindo eficiência, segurança e conformidade legal.</w:t>
      </w:r>
    </w:p>
    <w:p w:rsidR="000A3A4F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A medida possui fundamento constitucional e legal</w:t>
      </w:r>
      <w:r w:rsidR="000A3A4F">
        <w:rPr>
          <w:rFonts w:ascii="Tahoma" w:hAnsi="Tahoma" w:cs="Tahoma"/>
        </w:rPr>
        <w:t xml:space="preserve">, </w:t>
      </w:r>
      <w:r w:rsidRPr="007D6F75">
        <w:rPr>
          <w:rStyle w:val="Forte"/>
          <w:rFonts w:ascii="Tahoma" w:hAnsi="Tahoma" w:cs="Tahoma"/>
        </w:rPr>
        <w:t xml:space="preserve">art. 225 </w:t>
      </w:r>
      <w:r w:rsidR="000A3A4F">
        <w:rPr>
          <w:rStyle w:val="Forte"/>
          <w:rFonts w:ascii="Tahoma" w:hAnsi="Tahoma" w:cs="Tahoma"/>
        </w:rPr>
        <w:t>(</w:t>
      </w:r>
      <w:r w:rsidRPr="007D6F75">
        <w:rPr>
          <w:rStyle w:val="Forte"/>
          <w:rFonts w:ascii="Tahoma" w:hAnsi="Tahoma" w:cs="Tahoma"/>
        </w:rPr>
        <w:t>CF</w:t>
      </w:r>
      <w:r w:rsidR="000A3A4F">
        <w:rPr>
          <w:rStyle w:val="Forte"/>
          <w:rFonts w:ascii="Tahoma" w:hAnsi="Tahoma" w:cs="Tahoma"/>
        </w:rPr>
        <w:t>)</w:t>
      </w:r>
      <w:r w:rsidRPr="007D6F75">
        <w:rPr>
          <w:rFonts w:ascii="Tahoma" w:hAnsi="Tahoma" w:cs="Tahoma"/>
        </w:rPr>
        <w:t xml:space="preserve"> estabelece que todos têm direito ao meio ambiente ecologicamente equilibrado, impondo ao Poder Público e à coletividade o dever de defendê-lo e preservá-lo para as presentes e futuras gerações</w:t>
      </w:r>
      <w:r w:rsidR="000A3A4F">
        <w:rPr>
          <w:rFonts w:ascii="Tahoma" w:hAnsi="Tahoma" w:cs="Tahoma"/>
        </w:rPr>
        <w:t xml:space="preserve">, o </w:t>
      </w:r>
      <w:r w:rsidR="000A3A4F" w:rsidRPr="000A3A4F">
        <w:rPr>
          <w:rStyle w:val="Forte"/>
          <w:rFonts w:ascii="Tahoma" w:hAnsi="Tahoma" w:cs="Tahoma"/>
        </w:rPr>
        <w:t>Art. 196</w:t>
      </w:r>
      <w:r w:rsidR="000A3A4F">
        <w:rPr>
          <w:rStyle w:val="Forte"/>
          <w:rFonts w:ascii="Tahoma" w:hAnsi="Tahoma" w:cs="Tahoma"/>
        </w:rPr>
        <w:t xml:space="preserve"> (CF)</w:t>
      </w:r>
      <w:r w:rsidR="000A3A4F" w:rsidRPr="000A3A4F">
        <w:rPr>
          <w:rFonts w:ascii="Tahoma" w:hAnsi="Tahoma" w:cs="Tahoma"/>
        </w:rPr>
        <w:t xml:space="preserve"> estabelece a saúde como direito de todos e dever do Estado, destacando a relevância de medidas preventivas que evitem riscos sanitários à população</w:t>
      </w:r>
      <w:r w:rsidRPr="000A3A4F">
        <w:rPr>
          <w:rFonts w:ascii="Tahoma" w:hAnsi="Tahoma" w:cs="Tahoma"/>
        </w:rPr>
        <w:t>.</w:t>
      </w:r>
      <w:r w:rsidRPr="007D6F75">
        <w:rPr>
          <w:rFonts w:ascii="Tahoma" w:hAnsi="Tahoma" w:cs="Tahoma"/>
        </w:rPr>
        <w:t xml:space="preserve"> 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lastRenderedPageBreak/>
        <w:t xml:space="preserve">No mesmo sentido, a </w:t>
      </w:r>
      <w:r w:rsidRPr="007D6F75">
        <w:rPr>
          <w:rStyle w:val="Forte"/>
          <w:rFonts w:ascii="Tahoma" w:hAnsi="Tahoma" w:cs="Tahoma"/>
        </w:rPr>
        <w:t>Lei Federal nº 12.305/2010 (Política Nacional de Resíduos Sólidos)</w:t>
      </w:r>
      <w:r w:rsidRPr="007D6F75">
        <w:rPr>
          <w:rFonts w:ascii="Tahoma" w:hAnsi="Tahoma" w:cs="Tahoma"/>
        </w:rPr>
        <w:t xml:space="preserve"> impõe a obrigatoriedade da gestão integrada de resíduos, incluindo aqueles de origem animal, e prevê a responsabilidade compartilhada do poder público em adotar mecanismos ambientalmente adequados para seu tratamento e disposição final.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A </w:t>
      </w:r>
      <w:r w:rsidRPr="007D6F75">
        <w:rPr>
          <w:rStyle w:val="Forte"/>
          <w:rFonts w:ascii="Tahoma" w:hAnsi="Tahoma" w:cs="Tahoma"/>
        </w:rPr>
        <w:t>Lei Federal nº 8.080/1990 (Lei Orgânica da Saúde – SUS)</w:t>
      </w:r>
      <w:r w:rsidRPr="007D6F75">
        <w:rPr>
          <w:rFonts w:ascii="Tahoma" w:hAnsi="Tahoma" w:cs="Tahoma"/>
        </w:rPr>
        <w:t>, em seu art. 6º, inciso I, alínea “d”, define como competência do Sistema Único de Saúde a vigilância sanitária, o que inclui medidas de controle de zoonoses e riscos decorrentes do descarte inadequado de resíduos de origem animal. Assim, a criação de um crematório animal público atende diretamente ao princípio da prevenção, reduzindo riscos epidemiológicos e garantindo a segurança sanitária.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Do ponto de vista penal e ambiental, a </w:t>
      </w:r>
      <w:r w:rsidRPr="007D6F75">
        <w:rPr>
          <w:rStyle w:val="Forte"/>
          <w:rFonts w:ascii="Tahoma" w:hAnsi="Tahoma" w:cs="Tahoma"/>
        </w:rPr>
        <w:t>Lei Federal nº 9.605/1998 (Lei de Crimes Ambientais)</w:t>
      </w:r>
      <w:r w:rsidRPr="007D6F75">
        <w:rPr>
          <w:rFonts w:ascii="Tahoma" w:hAnsi="Tahoma" w:cs="Tahoma"/>
        </w:rPr>
        <w:t xml:space="preserve"> estabelece sanções para o descarte irregular de resíduos e tipifica como crime condutas que atentem contra a saúde pública e o equilíbrio ambiental. Portanto, a ausência de infraestrutura adequada para a destinação de carcaças pode ensejar responsabilização do Poder Público.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 xml:space="preserve">Em âmbito estadual e municipal, o </w:t>
      </w:r>
      <w:r w:rsidRPr="007D6F75">
        <w:rPr>
          <w:rStyle w:val="Forte"/>
          <w:rFonts w:ascii="Tahoma" w:hAnsi="Tahoma" w:cs="Tahoma"/>
        </w:rPr>
        <w:t>Código Estadual do Meio Ambiente do Rio de Janeiro (Lei nº 5.101/2007)</w:t>
      </w:r>
      <w:r w:rsidRPr="007D6F75">
        <w:rPr>
          <w:rFonts w:ascii="Tahoma" w:hAnsi="Tahoma" w:cs="Tahoma"/>
        </w:rPr>
        <w:t xml:space="preserve"> e o </w:t>
      </w:r>
      <w:r w:rsidRPr="007D6F75">
        <w:rPr>
          <w:rStyle w:val="Forte"/>
          <w:rFonts w:ascii="Tahoma" w:hAnsi="Tahoma" w:cs="Tahoma"/>
        </w:rPr>
        <w:t>Código Ambiental de Niterói (Lei nº 3.231/2016)</w:t>
      </w:r>
      <w:r w:rsidRPr="007D6F75">
        <w:rPr>
          <w:rFonts w:ascii="Tahoma" w:hAnsi="Tahoma" w:cs="Tahoma"/>
        </w:rPr>
        <w:t xml:space="preserve"> reforçam o dever do município em adotar medidas efetivas de proteção ambiental, o que inclui a gestão correta dos resíduos orgânicos de origem animal. Já o </w:t>
      </w:r>
      <w:r w:rsidRPr="007D6F75">
        <w:rPr>
          <w:rStyle w:val="Forte"/>
          <w:rFonts w:ascii="Tahoma" w:hAnsi="Tahoma" w:cs="Tahoma"/>
        </w:rPr>
        <w:t>Plano Diretor de Niterói (Lei Complementar nº 190/2023)</w:t>
      </w:r>
      <w:r w:rsidRPr="007D6F75">
        <w:rPr>
          <w:rFonts w:ascii="Tahoma" w:hAnsi="Tahoma" w:cs="Tahoma"/>
        </w:rPr>
        <w:t xml:space="preserve"> prevê como diretriz a promoção de cidades mais sustentáveis, com atenção à saúde coletiva e à proteção da biodiversidade.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Além dos fundamentos legais, há razões técnicas e sociais que justificam a medida. O descarte irregular de animais mortos em vias públicas gera contaminação do solo, proliferação de vetores (ratos, moscas, insetos) e riscos à saúde humana e animal. A incineração controlada e monitorada, como a prevista em convênio com a PESAGRO-RJ, constitui solução ambientalmente adequada, de menor impacto e custo operacional otimizado quando comparada a aterros sanitários e sepultamentos convencionais.</w:t>
      </w:r>
    </w:p>
    <w:p w:rsidR="007D6F75" w:rsidRPr="007D6F75" w:rsidRDefault="007D6F75" w:rsidP="007D6F7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lastRenderedPageBreak/>
        <w:t>Cidades como Curitiba, Belo Horizonte e Fortaleza já implantaram serviços semelhantes de destinação de carcaças de animais, seja por meio de incineração ou crematórios públicos, demonstrando a viabilidade técnica e o reconhecimento dessa prática como política de saúde pública e proteção ambiental.</w:t>
      </w:r>
    </w:p>
    <w:p w:rsidR="007D6F75" w:rsidRPr="007D6F75" w:rsidRDefault="007D6F75" w:rsidP="007D6F7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D6F75">
        <w:rPr>
          <w:rFonts w:ascii="Tahoma" w:hAnsi="Tahoma" w:cs="Tahoma"/>
        </w:rPr>
        <w:t>Portanto, a inclusão deste produto no PPA 2026-2029 permitirá ao município garantir: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saúde pública</w:t>
      </w:r>
      <w:r w:rsidRPr="007D6F75">
        <w:rPr>
          <w:rFonts w:ascii="Tahoma" w:hAnsi="Tahoma" w:cs="Tahoma"/>
        </w:rPr>
        <w:t>, com a redução de riscos epidemiológicos;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proteção ambiental</w:t>
      </w:r>
      <w:r w:rsidRPr="007D6F75">
        <w:rPr>
          <w:rFonts w:ascii="Tahoma" w:hAnsi="Tahoma" w:cs="Tahoma"/>
        </w:rPr>
        <w:t>, evitando o descarte inadequado e a contaminação de solos e águas;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respeito à dignidade animal</w:t>
      </w:r>
      <w:r w:rsidRPr="007D6F75">
        <w:rPr>
          <w:rFonts w:ascii="Tahoma" w:hAnsi="Tahoma" w:cs="Tahoma"/>
        </w:rPr>
        <w:t>, assegurando destinação adequada aos corpos de animais vítimas de maus-tratos ou atropelamentos;</w:t>
      </w:r>
    </w:p>
    <w:p w:rsidR="007D6F75" w:rsidRPr="007D6F75" w:rsidRDefault="007D6F75" w:rsidP="007D6F7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D6F75">
        <w:rPr>
          <w:rStyle w:val="Forte"/>
          <w:rFonts w:ascii="Tahoma" w:hAnsi="Tahoma" w:cs="Tahoma"/>
        </w:rPr>
        <w:t>cumprimento das obrigações legais</w:t>
      </w:r>
      <w:r w:rsidRPr="007D6F75">
        <w:rPr>
          <w:rFonts w:ascii="Tahoma" w:hAnsi="Tahoma" w:cs="Tahoma"/>
        </w:rPr>
        <w:t>, fortalecendo a atuação preventiva da administração pública.</w:t>
      </w:r>
    </w:p>
    <w:p w:rsidR="000A3A4F" w:rsidRDefault="000A3A4F" w:rsidP="000A3A4F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0A3A4F">
        <w:rPr>
          <w:rFonts w:ascii="Tahoma" w:hAnsi="Tahoma" w:cs="Tahoma"/>
        </w:rPr>
        <w:t xml:space="preserve">Diante do exposto, a celebração do convênio com a PESAGRO-RJ é medida estratégica para garantir a correta destinação das carcaças de animais, promovendo a </w:t>
      </w:r>
      <w:r w:rsidRPr="000A3A4F">
        <w:rPr>
          <w:rStyle w:val="Forte"/>
          <w:rFonts w:ascii="Tahoma" w:hAnsi="Tahoma" w:cs="Tahoma"/>
        </w:rPr>
        <w:t>proteção ambiental</w:t>
      </w:r>
      <w:r w:rsidRPr="000A3A4F">
        <w:rPr>
          <w:rFonts w:ascii="Tahoma" w:hAnsi="Tahoma" w:cs="Tahoma"/>
        </w:rPr>
        <w:t xml:space="preserve">, a </w:t>
      </w:r>
      <w:r w:rsidRPr="000A3A4F">
        <w:rPr>
          <w:rStyle w:val="Forte"/>
          <w:rFonts w:ascii="Tahoma" w:hAnsi="Tahoma" w:cs="Tahoma"/>
        </w:rPr>
        <w:t>saúde pública</w:t>
      </w:r>
      <w:r w:rsidRPr="000A3A4F">
        <w:rPr>
          <w:rFonts w:ascii="Tahoma" w:hAnsi="Tahoma" w:cs="Tahoma"/>
        </w:rPr>
        <w:t xml:space="preserve"> e a </w:t>
      </w:r>
      <w:r w:rsidRPr="000A3A4F">
        <w:rPr>
          <w:rStyle w:val="Forte"/>
          <w:rFonts w:ascii="Tahoma" w:hAnsi="Tahoma" w:cs="Tahoma"/>
        </w:rPr>
        <w:t>qualidade de vida da população de Niterói</w:t>
      </w:r>
      <w:r w:rsidRPr="000A3A4F">
        <w:rPr>
          <w:rFonts w:ascii="Tahoma" w:hAnsi="Tahoma" w:cs="Tahoma"/>
        </w:rPr>
        <w:t>, consolidando uma política municipal responsável, segu</w:t>
      </w:r>
      <w:r>
        <w:rPr>
          <w:rFonts w:ascii="Tahoma" w:hAnsi="Tahoma" w:cs="Tahoma"/>
        </w:rPr>
        <w:t>ra e ambientalmente sustentável. Dessa forma c</w:t>
      </w:r>
      <w:r w:rsidRPr="007D6F75">
        <w:rPr>
          <w:rFonts w:ascii="Tahoma" w:hAnsi="Tahoma" w:cs="Tahoma"/>
        </w:rPr>
        <w:t>ont</w:t>
      </w:r>
      <w:r>
        <w:rPr>
          <w:rFonts w:ascii="Tahoma" w:hAnsi="Tahoma" w:cs="Tahoma"/>
        </w:rPr>
        <w:t>o</w:t>
      </w:r>
      <w:r w:rsidRPr="007D6F75">
        <w:rPr>
          <w:rFonts w:ascii="Tahoma" w:hAnsi="Tahoma" w:cs="Tahoma"/>
        </w:rPr>
        <w:t xml:space="preserve"> com o apoio dos Nobres Pares para assegurar a reserva orçamentária que viabilize a implementação do convênio com a PESAGRO-RJ e a instalação do crematório animal em Niterói.</w:t>
      </w:r>
    </w:p>
    <w:p w:rsidR="00097064" w:rsidRPr="0098657C" w:rsidRDefault="00097064" w:rsidP="002E1F01">
      <w:pPr>
        <w:pStyle w:val="NormalWeb"/>
        <w:spacing w:line="276" w:lineRule="auto"/>
        <w:ind w:firstLine="567"/>
        <w:jc w:val="both"/>
        <w:rPr>
          <w:rFonts w:ascii="Tahoma" w:hAnsi="Tahoma" w:cs="Tahoma"/>
          <w:i/>
          <w:iCs/>
          <w:color w:val="000000" w:themeColor="text1"/>
          <w:sz w:val="28"/>
          <w:szCs w:val="28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A3A4F">
        <w:rPr>
          <w:rFonts w:ascii="Tahoma" w:eastAsia="Times New Roman" w:hAnsi="Tahoma" w:cs="Tahoma"/>
          <w:color w:val="000000" w:themeColor="text1"/>
          <w:sz w:val="22"/>
          <w:szCs w:val="22"/>
        </w:rPr>
        <w:t>29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F2" w:rsidRDefault="006079F2">
      <w:pPr>
        <w:spacing w:after="0" w:line="240" w:lineRule="auto"/>
      </w:pPr>
      <w:r>
        <w:separator/>
      </w:r>
    </w:p>
  </w:endnote>
  <w:endnote w:type="continuationSeparator" w:id="1">
    <w:p w:rsidR="006079F2" w:rsidRDefault="006079F2">
      <w:pPr>
        <w:spacing w:after="0" w:line="240" w:lineRule="auto"/>
      </w:pPr>
      <w:r>
        <w:continuationSeparator/>
      </w:r>
    </w:p>
  </w:endnote>
  <w:endnote w:type="continuationNotice" w:id="2">
    <w:p w:rsidR="006079F2" w:rsidRDefault="006079F2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F364E" w:rsidRPr="001E03A2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F364E" w:rsidRDefault="001F364E" w:rsidP="001F364E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F2" w:rsidRDefault="006079F2">
      <w:pPr>
        <w:spacing w:after="0" w:line="240" w:lineRule="auto"/>
      </w:pPr>
      <w:r>
        <w:separator/>
      </w:r>
    </w:p>
  </w:footnote>
  <w:footnote w:type="continuationSeparator" w:id="1">
    <w:p w:rsidR="006079F2" w:rsidRDefault="006079F2">
      <w:pPr>
        <w:spacing w:after="0" w:line="240" w:lineRule="auto"/>
      </w:pPr>
      <w:r>
        <w:continuationSeparator/>
      </w:r>
    </w:p>
  </w:footnote>
  <w:footnote w:type="continuationNotice" w:id="2">
    <w:p w:rsidR="006079F2" w:rsidRDefault="006079F2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E2545"/>
    <w:multiLevelType w:val="multilevel"/>
    <w:tmpl w:val="E6F2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3A4F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F00DB"/>
    <w:rsid w:val="001F00E8"/>
    <w:rsid w:val="001F364E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E1F01"/>
    <w:rsid w:val="002F5CB7"/>
    <w:rsid w:val="00300683"/>
    <w:rsid w:val="0030528B"/>
    <w:rsid w:val="003203B3"/>
    <w:rsid w:val="003521A9"/>
    <w:rsid w:val="0037086E"/>
    <w:rsid w:val="003952BD"/>
    <w:rsid w:val="003C2B48"/>
    <w:rsid w:val="003C5BE6"/>
    <w:rsid w:val="003F7EA3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594C"/>
    <w:rsid w:val="00517ED6"/>
    <w:rsid w:val="00540F9C"/>
    <w:rsid w:val="005954A2"/>
    <w:rsid w:val="0059603D"/>
    <w:rsid w:val="005A5F7D"/>
    <w:rsid w:val="005B3098"/>
    <w:rsid w:val="005B6FC7"/>
    <w:rsid w:val="005C593E"/>
    <w:rsid w:val="005C6561"/>
    <w:rsid w:val="005D79C1"/>
    <w:rsid w:val="005F61D3"/>
    <w:rsid w:val="006062CA"/>
    <w:rsid w:val="006079F2"/>
    <w:rsid w:val="00613259"/>
    <w:rsid w:val="00617600"/>
    <w:rsid w:val="006218E8"/>
    <w:rsid w:val="00642EBB"/>
    <w:rsid w:val="006579A2"/>
    <w:rsid w:val="00672549"/>
    <w:rsid w:val="006726D4"/>
    <w:rsid w:val="00685585"/>
    <w:rsid w:val="00692B21"/>
    <w:rsid w:val="006954B9"/>
    <w:rsid w:val="006A0798"/>
    <w:rsid w:val="006B4461"/>
    <w:rsid w:val="006D6577"/>
    <w:rsid w:val="006F340B"/>
    <w:rsid w:val="006F62FF"/>
    <w:rsid w:val="00752CEC"/>
    <w:rsid w:val="007A1383"/>
    <w:rsid w:val="007A37B4"/>
    <w:rsid w:val="007C1AE6"/>
    <w:rsid w:val="007D3B94"/>
    <w:rsid w:val="007D6F75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74AEF"/>
    <w:rsid w:val="009823D8"/>
    <w:rsid w:val="0098657C"/>
    <w:rsid w:val="00995CC9"/>
    <w:rsid w:val="009F5E77"/>
    <w:rsid w:val="00A00F6B"/>
    <w:rsid w:val="00A23552"/>
    <w:rsid w:val="00A5308F"/>
    <w:rsid w:val="00A57A45"/>
    <w:rsid w:val="00A610F0"/>
    <w:rsid w:val="00A739BF"/>
    <w:rsid w:val="00A74361"/>
    <w:rsid w:val="00A9066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BF6AA1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2D37"/>
    <w:rsid w:val="00D4736D"/>
    <w:rsid w:val="00D87DB0"/>
    <w:rsid w:val="00DB4BE6"/>
    <w:rsid w:val="00DE167E"/>
    <w:rsid w:val="00E04C8E"/>
    <w:rsid w:val="00E10DC3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3602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ms-1">
    <w:name w:val="ms-1"/>
    <w:basedOn w:val="Fontepargpadro"/>
    <w:rsid w:val="0098657C"/>
  </w:style>
  <w:style w:type="character" w:customStyle="1" w:styleId="max-w-full">
    <w:name w:val="max-w-full"/>
    <w:basedOn w:val="Fontepargpadro"/>
    <w:rsid w:val="00986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7239-B1F7-460E-B873-38F0E85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1200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2025-09-26T19:08:00Z</cp:lastPrinted>
  <dcterms:created xsi:type="dcterms:W3CDTF">2025-10-02T20:44:00Z</dcterms:created>
  <dcterms:modified xsi:type="dcterms:W3CDTF">2025-10-02T20:44:00Z</dcterms:modified>
</cp:coreProperties>
</file>