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7B08C3" w:rsidRPr="00D46AAD" w:rsidRDefault="007B08C3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7B08C3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7B08C3" w:rsidRPr="007B08C3">
        <w:rPr>
          <w:rFonts w:ascii="Times New Roman" w:hAnsi="Times New Roman" w:cs="Times New Roman"/>
          <w:b/>
          <w:spacing w:val="27"/>
          <w:sz w:val="20"/>
          <w:szCs w:val="20"/>
        </w:rPr>
        <w:t xml:space="preserve">  </w:t>
      </w:r>
      <w:r w:rsidR="007B08C3">
        <w:rPr>
          <w:rFonts w:ascii="Times New Roman" w:hAnsi="Times New Roman" w:cs="Times New Roman"/>
          <w:b/>
          <w:spacing w:val="27"/>
          <w:sz w:val="20"/>
          <w:szCs w:val="20"/>
        </w:rPr>
        <w:t>“</w:t>
      </w:r>
      <w:r w:rsidR="0095726C" w:rsidRPr="0095726C">
        <w:rPr>
          <w:rFonts w:ascii="Times New Roman" w:hAnsi="Times New Roman" w:cs="Times New Roman"/>
          <w:b/>
          <w:bCs/>
          <w:sz w:val="20"/>
          <w:szCs w:val="20"/>
        </w:rPr>
        <w:t>Consultas de Atenção Básica</w:t>
      </w:r>
      <w:r w:rsidR="00502EAB">
        <w:rPr>
          <w:rFonts w:ascii="Times New Roman" w:hAnsi="Times New Roman" w:cs="Times New Roman"/>
          <w:b/>
          <w:bCs/>
          <w:sz w:val="20"/>
          <w:szCs w:val="20"/>
        </w:rPr>
        <w:t xml:space="preserve"> Ampliado</w:t>
      </w:r>
      <w:r w:rsidRPr="00D46AAD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9C055F" w:rsidRPr="00D46AAD" w:rsidRDefault="00000000" w:rsidP="009C055F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</w:p>
    <w:p w:rsidR="00DA3619" w:rsidRPr="00D46AAD" w:rsidRDefault="00833624">
      <w:pPr>
        <w:spacing w:before="31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B08C3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F77643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ATENÇÃO À SAÚDE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27131A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27131A">
              <w:rPr>
                <w:sz w:val="20"/>
                <w:szCs w:val="20"/>
              </w:rPr>
              <w:t>Consultas de Atenção Básica</w:t>
            </w:r>
            <w:r w:rsidR="00502EAB">
              <w:rPr>
                <w:sz w:val="20"/>
                <w:szCs w:val="20"/>
              </w:rPr>
              <w:t xml:space="preserve"> Ampliado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27131A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27131A">
              <w:rPr>
                <w:sz w:val="20"/>
                <w:szCs w:val="20"/>
              </w:rPr>
              <w:t>Aumentar o número de consultas médicas e de enfermagem na Atenção Básica, priorizando a cobertura de ESF</w:t>
            </w:r>
            <w:r>
              <w:rPr>
                <w:sz w:val="20"/>
                <w:szCs w:val="20"/>
              </w:rPr>
              <w:t xml:space="preserve"> (</w:t>
            </w:r>
            <w:r w:rsidRPr="0027131A">
              <w:rPr>
                <w:sz w:val="20"/>
                <w:szCs w:val="20"/>
              </w:rPr>
              <w:t>Estratégia Saúde da Família</w:t>
            </w:r>
            <w:r>
              <w:rPr>
                <w:sz w:val="20"/>
                <w:szCs w:val="20"/>
              </w:rPr>
              <w:t xml:space="preserve">). 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Mulheres,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Niterói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Jovem,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Primeira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pacing w:val="-2"/>
                <w:sz w:val="20"/>
                <w:szCs w:val="20"/>
              </w:rPr>
              <w:t>Infância,</w:t>
            </w:r>
          </w:p>
          <w:p w:rsidR="00DA3619" w:rsidRPr="00D46AAD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9C05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120.000</w:t>
            </w:r>
          </w:p>
        </w:tc>
        <w:tc>
          <w:tcPr>
            <w:tcW w:w="800" w:type="dxa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9C055F" w:rsidRPr="009C055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9C055F" w:rsidRPr="009C055F" w:rsidRDefault="009C055F" w:rsidP="009C055F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9C055F" w:rsidRPr="009C055F" w:rsidRDefault="009C055F" w:rsidP="009C055F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0"/>
            </w:tblGrid>
            <w:tr w:rsidR="009C055F" w:rsidRPr="009C055F">
              <w:trPr>
                <w:tblCellSpacing w:w="15" w:type="dxa"/>
              </w:trPr>
              <w:tc>
                <w:tcPr>
                  <w:tcW w:w="1110" w:type="dxa"/>
                  <w:vAlign w:val="center"/>
                  <w:hideMark/>
                </w:tcPr>
                <w:p w:rsidR="009C055F" w:rsidRPr="009C055F" w:rsidRDefault="009C055F" w:rsidP="009C055F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</w:rPr>
                    <w:t xml:space="preserve">R$ </w:t>
                  </w:r>
                  <w:r w:rsidRPr="009C055F">
                    <w:rPr>
                      <w:sz w:val="20"/>
                      <w:szCs w:val="20"/>
                      <w:lang w:val="pt-BR"/>
                    </w:rPr>
                    <w:t>500.000,00</w:t>
                  </w:r>
                </w:p>
              </w:tc>
            </w:tr>
          </w:tbl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9C05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130.000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9C05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9C055F">
              <w:rPr>
                <w:sz w:val="20"/>
                <w:szCs w:val="20"/>
              </w:rPr>
              <w:t>550.000,00</w:t>
            </w:r>
          </w:p>
        </w:tc>
        <w:tc>
          <w:tcPr>
            <w:tcW w:w="124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9C05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140.000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9C05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9C055F">
              <w:rPr>
                <w:sz w:val="20"/>
                <w:szCs w:val="20"/>
              </w:rPr>
              <w:t>600.000,00</w:t>
            </w:r>
          </w:p>
        </w:tc>
        <w:tc>
          <w:tcPr>
            <w:tcW w:w="138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9C05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150.000</w:t>
            </w:r>
          </w:p>
        </w:tc>
        <w:tc>
          <w:tcPr>
            <w:tcW w:w="860" w:type="dxa"/>
            <w:vMerge w:val="restart"/>
          </w:tcPr>
          <w:p w:rsidR="00DA3619" w:rsidRPr="00D46AAD" w:rsidRDefault="009C05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9C055F">
              <w:rPr>
                <w:sz w:val="20"/>
                <w:szCs w:val="20"/>
              </w:rPr>
              <w:t>650.000,00</w:t>
            </w:r>
          </w:p>
        </w:tc>
        <w:tc>
          <w:tcPr>
            <w:tcW w:w="92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9C055F" w:rsidRDefault="009C055F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B08C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9C055F" w:rsidP="009C055F">
            <w:pPr>
              <w:pStyle w:val="TableParagraph"/>
              <w:jc w:val="center"/>
              <w:rPr>
                <w:sz w:val="20"/>
                <w:szCs w:val="20"/>
              </w:rPr>
            </w:pPr>
            <w:r w:rsidRPr="009C055F">
              <w:rPr>
                <w:sz w:val="20"/>
                <w:szCs w:val="20"/>
              </w:rPr>
              <w:t>R$ 2.300.000,00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7B08C3" w:rsidRPr="00873367" w:rsidRDefault="007B08C3" w:rsidP="007B08C3">
      <w:pPr>
        <w:pStyle w:val="Corpodetexto"/>
        <w:ind w:firstLine="720"/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A presente emenda tem como finalidade ampliar o número de consultas médicas e de enfermagem na Atenção Básica, com prioridade para a cobertura da Estratégia Saúde da Família (ESF), eixo estruturante da rede de Atenção Primária em Saúde do Sistema Único de Saúde (SUS).</w:t>
      </w:r>
    </w:p>
    <w:p w:rsidR="007B08C3" w:rsidRPr="00873367" w:rsidRDefault="007B08C3" w:rsidP="007B08C3">
      <w:pPr>
        <w:pStyle w:val="Corpodetexto"/>
        <w:ind w:firstLine="720"/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A Atenção Básica é a porta de entrada preferencial do SUS, responsável pela prevenção de doenças, promoção da saúde e acompanhamento contínuo dos cidadãos. No entanto, observa-se uma demanda reprimida significativa, que sobrecarrega as emergências hospitalares e compromete a integralidade da assistência.</w:t>
      </w: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ind w:firstLine="720"/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A ampliação das consultas permitirá:</w:t>
      </w: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Reduzir filas e tempo de espera, facilitando o acesso da população a médicos e enfermeiros;</w:t>
      </w: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Prevenir o agravamento de doenças crônicas, como hipertensão e diabetes, por meio de acompanhamento regular e próximo da comunidade;</w:t>
      </w: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Reforçar o papel da ESF, ampliando a cobertura e o vínculo entre equipes de saúde e usuários;</w:t>
      </w: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Diminuir a pressão sobre os hospitais, otimizando a utilização dos recursos públicos;</w:t>
      </w: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>Promover maior equidade no acesso, contemplando especialmente regiões mais vulneráveis do município.</w:t>
      </w: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ind w:firstLine="720"/>
        <w:rPr>
          <w:rFonts w:ascii="Times New Roman" w:hAnsi="Times New Roman" w:cs="Times New Roman"/>
        </w:rPr>
      </w:pPr>
    </w:p>
    <w:p w:rsidR="007B08C3" w:rsidRPr="00873367" w:rsidRDefault="007B08C3" w:rsidP="007B08C3">
      <w:pPr>
        <w:pStyle w:val="Corpodetexto"/>
        <w:ind w:firstLine="720"/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 xml:space="preserve">Do ponto de vista jurídico e administrativo, a medida concretiza o direito social à saúde (art. 6º da Constituição Federal), bem como o dever do Estado de garantir acesso universal e igualitário às ações e serviços de saúde (art. 196 da CF/88). Também encontra respaldo na Lei nº 8.080/1990 (Lei Orgânica da Saúde), </w:t>
      </w:r>
      <w:r w:rsidRPr="00873367">
        <w:rPr>
          <w:rFonts w:ascii="Times New Roman" w:hAnsi="Times New Roman" w:cs="Times New Roman"/>
        </w:rPr>
        <w:lastRenderedPageBreak/>
        <w:t>que prevê a integralidade da atenção e a hierarquização do SUS com base na Atenção Primária.</w:t>
      </w:r>
    </w:p>
    <w:p w:rsidR="0027131A" w:rsidRPr="00873367" w:rsidRDefault="007B08C3" w:rsidP="007B08C3">
      <w:pPr>
        <w:pStyle w:val="Corpodetexto"/>
        <w:ind w:firstLine="720"/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 xml:space="preserve">Assim, a presente emenda representa um investimento estratégico para Niterói, alinhado ao Plano Nacional de Saúde e às diretrizes do SUS, garantindo maior eficiência, prevenção, equidade e resolutividade no cuidado à população. </w:t>
      </w: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8733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 xml:space="preserve">Sala das Sessões, </w:t>
      </w:r>
      <w:r w:rsidR="00F77643" w:rsidRPr="00873367">
        <w:rPr>
          <w:rFonts w:ascii="Times New Roman" w:hAnsi="Times New Roman" w:cs="Times New Roman"/>
        </w:rPr>
        <w:t>17</w:t>
      </w:r>
      <w:r w:rsidRPr="00873367">
        <w:rPr>
          <w:rFonts w:ascii="Times New Roman" w:hAnsi="Times New Roman" w:cs="Times New Roman"/>
        </w:rPr>
        <w:t xml:space="preserve"> de setembro de </w:t>
      </w:r>
      <w:r w:rsidRPr="00873367">
        <w:rPr>
          <w:rFonts w:ascii="Times New Roman" w:hAnsi="Times New Roman" w:cs="Times New Roman"/>
          <w:spacing w:val="-2"/>
        </w:rPr>
        <w:t>2025.</w:t>
      </w: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873367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873367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8733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873367">
        <w:rPr>
          <w:rFonts w:ascii="Times New Roman" w:hAnsi="Times New Roman" w:cs="Times New Roman"/>
        </w:rPr>
        <w:tab/>
      </w:r>
      <w:r w:rsidRPr="00873367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367">
        <w:rPr>
          <w:rFonts w:ascii="Times New Roman" w:hAnsi="Times New Roman" w:cs="Times New Roman"/>
        </w:rPr>
        <w:tab/>
      </w:r>
    </w:p>
    <w:p w:rsidR="00DA3619" w:rsidRPr="00873367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873367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873367">
        <w:rPr>
          <w:rFonts w:ascii="Times New Roman" w:hAnsi="Times New Roman" w:cs="Times New Roman"/>
          <w:b/>
        </w:rPr>
        <w:t>Rodrigo Farah</w:t>
      </w:r>
    </w:p>
    <w:p w:rsidR="00DA3619" w:rsidRPr="00873367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873367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873367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4885" w:rsidRDefault="004F4885">
      <w:r>
        <w:separator/>
      </w:r>
    </w:p>
  </w:endnote>
  <w:endnote w:type="continuationSeparator" w:id="0">
    <w:p w:rsidR="004F4885" w:rsidRDefault="004F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4885" w:rsidRDefault="004F4885">
      <w:r>
        <w:separator/>
      </w:r>
    </w:p>
  </w:footnote>
  <w:footnote w:type="continuationSeparator" w:id="0">
    <w:p w:rsidR="004F4885" w:rsidRDefault="004F4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0404E"/>
    <w:multiLevelType w:val="hybridMultilevel"/>
    <w:tmpl w:val="C4929B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6D6FA0"/>
    <w:multiLevelType w:val="multilevel"/>
    <w:tmpl w:val="2BE41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5817681">
    <w:abstractNumId w:val="1"/>
  </w:num>
  <w:num w:numId="2" w16cid:durableId="44449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27131A"/>
    <w:rsid w:val="004F4885"/>
    <w:rsid w:val="00502EAB"/>
    <w:rsid w:val="005C7EE0"/>
    <w:rsid w:val="00601AC2"/>
    <w:rsid w:val="006954E5"/>
    <w:rsid w:val="007B08C3"/>
    <w:rsid w:val="00833624"/>
    <w:rsid w:val="00873367"/>
    <w:rsid w:val="0095726C"/>
    <w:rsid w:val="009C055F"/>
    <w:rsid w:val="00D46AAD"/>
    <w:rsid w:val="00DA2CC6"/>
    <w:rsid w:val="00DA3619"/>
    <w:rsid w:val="00E1447E"/>
    <w:rsid w:val="00E55979"/>
    <w:rsid w:val="00F54E5C"/>
    <w:rsid w:val="00F75D23"/>
    <w:rsid w:val="00F77643"/>
    <w:rsid w:val="00FC3E06"/>
    <w:rsid w:val="00FE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3A7FA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579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7</cp:revision>
  <dcterms:created xsi:type="dcterms:W3CDTF">2025-09-17T18:22:00Z</dcterms:created>
  <dcterms:modified xsi:type="dcterms:W3CDTF">2025-10-15T19:17:00Z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