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>Implantar Atendimento Odontológico Itinerante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>3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2C72D1" w:rsidRPr="002C72D1">
        <w:rPr>
          <w:rFonts w:ascii="Times New Roman" w:hAnsi="Times New Roman"/>
          <w:b/>
          <w:spacing w:val="-2"/>
          <w:sz w:val="20"/>
          <w:szCs w:val="20"/>
        </w:rPr>
        <w:t>Atenção à Saúde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</w:t>
      </w:r>
      <w:r w:rsidR="002C72D1">
        <w:rPr>
          <w:rFonts w:ascii="Times New Roman" w:hAnsi="Times New Roman" w:cs="Times New Roman"/>
          <w:sz w:val="20"/>
          <w:szCs w:val="20"/>
        </w:rPr>
        <w:t>3</w:t>
      </w:r>
      <w:r w:rsidR="00BA285F" w:rsidRPr="00BA285F">
        <w:rPr>
          <w:rFonts w:ascii="Times New Roman" w:hAnsi="Times New Roman" w:cs="Times New Roman"/>
          <w:sz w:val="20"/>
          <w:szCs w:val="20"/>
        </w:rPr>
        <w:t xml:space="preserve"> – </w:t>
      </w:r>
      <w:r w:rsidR="002C72D1" w:rsidRPr="002C72D1">
        <w:rPr>
          <w:rFonts w:ascii="Times New Roman" w:hAnsi="Times New Roman" w:cs="Times New Roman"/>
          <w:sz w:val="20"/>
          <w:szCs w:val="20"/>
        </w:rPr>
        <w:t>Atenção à Saúde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2C72D1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2C72D1">
              <w:rPr>
                <w:sz w:val="20"/>
                <w:szCs w:val="20"/>
              </w:rPr>
              <w:t>ATENÇÃO À SAÚDE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2C72D1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2C72D1">
              <w:rPr>
                <w:sz w:val="20"/>
                <w:szCs w:val="20"/>
              </w:rPr>
              <w:t xml:space="preserve">Implantar </w:t>
            </w:r>
            <w:r w:rsidR="006146BA" w:rsidRPr="006146BA">
              <w:rPr>
                <w:sz w:val="20"/>
                <w:szCs w:val="20"/>
              </w:rPr>
              <w:t>Atendimento Odontológico Itinerante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6146BA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6146BA">
              <w:rPr>
                <w:sz w:val="20"/>
                <w:szCs w:val="20"/>
              </w:rPr>
              <w:t>Aquisição de unidades móveis odontológicas para atendimento preventivo e curativo em comunidades.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BA28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2C72D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6146B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146BA">
              <w:rPr>
                <w:sz w:val="20"/>
                <w:szCs w:val="20"/>
              </w:rPr>
              <w:t>600.000,00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6146BA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600.000,00</w:t>
            </w:r>
          </w:p>
        </w:tc>
        <w:tc>
          <w:tcPr>
            <w:tcW w:w="1200" w:type="dxa"/>
            <w:gridSpan w:val="2"/>
          </w:tcPr>
          <w:p w:rsidR="00DA3619" w:rsidRPr="00F84EA4" w:rsidRDefault="006146B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6146B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6146BA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700.000,00</w:t>
            </w: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146BA">
              <w:rPr>
                <w:sz w:val="20"/>
                <w:szCs w:val="20"/>
              </w:rPr>
              <w:t>800.000,00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vMerge w:val="restart"/>
          </w:tcPr>
          <w:p w:rsidR="00DA3619" w:rsidRPr="00F84EA4" w:rsidRDefault="006146B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C72D1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6146BA">
              <w:rPr>
                <w:sz w:val="20"/>
                <w:szCs w:val="20"/>
              </w:rPr>
              <w:t>3.000.000,00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C72D1" w:rsidRPr="002C72D1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6146BA">
              <w:rPr>
                <w:sz w:val="20"/>
                <w:szCs w:val="20"/>
              </w:rPr>
              <w:t>1.900.000,00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833624" w:rsidRPr="00B73942" w:rsidRDefault="00000000" w:rsidP="00B73942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BA285F" w:rsidRDefault="00BA285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ab/>
      </w:r>
      <w:r w:rsidRPr="00B73942">
        <w:rPr>
          <w:rFonts w:ascii="Times New Roman" w:hAnsi="Times New Roman" w:cs="Times New Roman"/>
        </w:rPr>
        <w:tab/>
      </w: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6146BA">
        <w:rPr>
          <w:rFonts w:ascii="Times New Roman" w:hAnsi="Times New Roman" w:cs="Times New Roman"/>
        </w:rPr>
        <w:t>A presente emenda aditiva tem por finalidade ampliar o acesso da população niteroiense aos serviços de saúde bucal, por meio da implantação de Atendimento Odontológico Itinerante, em consonância com as diretrizes do Sistema Único de Saúde (SUS) e com a Política Nacional de Saúde Bucal – Brasil Sorridente.</w:t>
      </w: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6146BA">
        <w:rPr>
          <w:rFonts w:ascii="Times New Roman" w:hAnsi="Times New Roman" w:cs="Times New Roman"/>
        </w:rPr>
        <w:t>A proposta busca reduzir desigualdades territoriais no acesso a serviços odontológicos, beneficiando, prioritariamente, comunidades periféricas, áreas de morro e regiões de difícil acesso, onde a cobertura das Unidades Básicas de Saúde (UBS) é limitada.</w:t>
      </w: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6146BA">
        <w:rPr>
          <w:rFonts w:ascii="Times New Roman" w:hAnsi="Times New Roman" w:cs="Times New Roman"/>
        </w:rPr>
        <w:t>As unidades móveis permitirão atendimentos preventivos e curativos, com foco em crianças, gestantes, idosos e pessoas em vulnerabilidade social, contribuindo diretamente para os indicadores de saúde bucal e qualidade de vida da população.</w:t>
      </w: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6146BA">
        <w:rPr>
          <w:rFonts w:ascii="Times New Roman" w:hAnsi="Times New Roman" w:cs="Times New Roman"/>
        </w:rPr>
        <w:t>Do ponto de vista jurídico-orçamentário, a emenda observa os princípios da universalidade do atendimento (art. 196 da CF), da eficiência na gestão pública (art. 37 da CF) e da função social do orçamento público (art. 165 da CF). No âmbito municipal, alinha-se às metas do Plano Plurianual 2026-2029, especialmente ao eixo temático “Cuidar das Pessoas”, e ao Programa 0133 – Atenção à Saúde, que visa fortalecer a rede de atenção básica e ampliar ações preventivas.</w:t>
      </w: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6146BA">
        <w:rPr>
          <w:rFonts w:ascii="Times New Roman" w:hAnsi="Times New Roman" w:cs="Times New Roman"/>
        </w:rPr>
        <w:t>A implantação do atendimento itinerante é medida de alto impacto social e baixo custo relativo, promovendo cidadania, inclusão e equidade territorial em Niterói, especialmente para as regiões Norte, Pendotiba, Leste e Oceânica. A ação ainda se conecta à agenda transversal de equidade racial e de gênero, garantindo que mulheres, crianças e jovens tenham acesso prioritário aos serviços de saúde bucal.</w:t>
      </w:r>
    </w:p>
    <w:p w:rsidR="006146BA" w:rsidRPr="006146BA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6146BA" w:rsidP="006146B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6146BA">
        <w:rPr>
          <w:rFonts w:ascii="Times New Roman" w:hAnsi="Times New Roman" w:cs="Times New Roman"/>
        </w:rPr>
        <w:t>Assim, a proposta demonstra viabilidade técnica e legal, pertinência programática e relevância social, devendo ser incorporada ao PPA 2026-2029.</w:t>
      </w: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6146BA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6146BA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052EE" w:rsidRDefault="003052EE">
      <w:r>
        <w:separator/>
      </w:r>
    </w:p>
  </w:endnote>
  <w:endnote w:type="continuationSeparator" w:id="0">
    <w:p w:rsidR="003052EE" w:rsidRDefault="00305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052EE" w:rsidRDefault="003052EE">
      <w:r>
        <w:separator/>
      </w:r>
    </w:p>
  </w:footnote>
  <w:footnote w:type="continuationSeparator" w:id="0">
    <w:p w:rsidR="003052EE" w:rsidRDefault="00305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2"/>
  </w:num>
  <w:num w:numId="2" w16cid:durableId="1158880826">
    <w:abstractNumId w:val="1"/>
  </w:num>
  <w:num w:numId="3" w16cid:durableId="1019893508">
    <w:abstractNumId w:val="3"/>
  </w:num>
  <w:num w:numId="4" w16cid:durableId="371661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2C72D1"/>
    <w:rsid w:val="003052EE"/>
    <w:rsid w:val="00337EA1"/>
    <w:rsid w:val="00396367"/>
    <w:rsid w:val="004B5DF5"/>
    <w:rsid w:val="004F5A94"/>
    <w:rsid w:val="00586121"/>
    <w:rsid w:val="006146BA"/>
    <w:rsid w:val="006A5F5F"/>
    <w:rsid w:val="00764045"/>
    <w:rsid w:val="007937DC"/>
    <w:rsid w:val="00793CAC"/>
    <w:rsid w:val="00833624"/>
    <w:rsid w:val="008D096B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46627"/>
    <w:rsid w:val="00DA3619"/>
    <w:rsid w:val="00E657E1"/>
    <w:rsid w:val="00F31528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D747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2025-10-08T19:07:00Z</dcterms:created>
  <dcterms:modified xsi:type="dcterms:W3CDTF">2025-10-08T19:10:00Z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