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A325B3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Pr="00A325B3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A325B3">
        <w:rPr>
          <w:rFonts w:ascii="Times New Roman" w:hAnsi="Times New Roman" w:cs="Times New Roman"/>
          <w:b/>
          <w:sz w:val="20"/>
          <w:szCs w:val="20"/>
        </w:rPr>
        <w:t>EMENDA</w:t>
      </w:r>
      <w:r w:rsidRPr="00A325B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Nº.</w:t>
      </w:r>
      <w:r w:rsidRPr="00A325B3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000</w:t>
      </w:r>
      <w:r w:rsidRPr="00A325B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A325B3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AO</w:t>
      </w:r>
      <w:r w:rsidRPr="00A325B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PROJETO</w:t>
      </w:r>
      <w:r w:rsidRPr="00A325B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DE</w:t>
      </w:r>
      <w:r w:rsidRPr="00A325B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LEI</w:t>
      </w:r>
      <w:r w:rsidRPr="00A325B3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Nº.</w:t>
      </w:r>
      <w:r w:rsidRPr="00A325B3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E57BA0" w:rsidRPr="00A325B3" w:rsidRDefault="00E57BA0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A325B3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A325B3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A325B3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A325B3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o</w:t>
      </w:r>
      <w:r w:rsidRPr="00A325B3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833624" w:rsidRPr="00A325B3">
        <w:rPr>
          <w:rFonts w:ascii="Times New Roman" w:hAnsi="Times New Roman" w:cs="Times New Roman"/>
          <w:sz w:val="20"/>
          <w:szCs w:val="20"/>
        </w:rPr>
        <w:t xml:space="preserve"> </w:t>
      </w:r>
      <w:r w:rsidR="00E57BA0" w:rsidRPr="00A325B3">
        <w:rPr>
          <w:rFonts w:ascii="Times New Roman" w:hAnsi="Times New Roman" w:cs="Times New Roman"/>
          <w:sz w:val="20"/>
          <w:szCs w:val="20"/>
        </w:rPr>
        <w:t xml:space="preserve"> </w:t>
      </w:r>
      <w:r w:rsidR="00E57BA0" w:rsidRPr="00A325B3">
        <w:rPr>
          <w:rFonts w:ascii="Times New Roman" w:hAnsi="Times New Roman" w:cs="Times New Roman"/>
          <w:b/>
          <w:bCs/>
          <w:sz w:val="20"/>
          <w:szCs w:val="20"/>
        </w:rPr>
        <w:t>“</w:t>
      </w:r>
      <w:r w:rsidR="00CB75E9" w:rsidRPr="00A325B3">
        <w:rPr>
          <w:rFonts w:ascii="Times New Roman" w:hAnsi="Times New Roman" w:cs="Times New Roman"/>
          <w:b/>
          <w:bCs/>
          <w:sz w:val="20"/>
          <w:szCs w:val="20"/>
        </w:rPr>
        <w:t>Programa de Telemedicina na Atenção Básica</w:t>
      </w:r>
      <w:r w:rsidR="00E57BA0" w:rsidRPr="00A325B3">
        <w:rPr>
          <w:rFonts w:ascii="Times New Roman" w:hAnsi="Times New Roman" w:cs="Times New Roman"/>
          <w:b/>
          <w:bCs/>
          <w:sz w:val="20"/>
          <w:szCs w:val="20"/>
        </w:rPr>
        <w:t xml:space="preserve"> Ampliado</w:t>
      </w:r>
      <w:r w:rsidRPr="00A325B3">
        <w:rPr>
          <w:rFonts w:ascii="Times New Roman" w:hAnsi="Times New Roman" w:cs="Times New Roman"/>
          <w:b/>
          <w:sz w:val="20"/>
          <w:szCs w:val="20"/>
        </w:rPr>
        <w:t>”</w:t>
      </w:r>
      <w:r w:rsidRPr="00A325B3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CB75E9" w:rsidRPr="00A325B3" w:rsidRDefault="00000000" w:rsidP="00CB75E9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A325B3">
        <w:rPr>
          <w:rFonts w:ascii="Times New Roman" w:hAnsi="Times New Roman" w:cs="Times New Roman"/>
          <w:b/>
          <w:sz w:val="20"/>
          <w:szCs w:val="20"/>
        </w:rPr>
        <w:t>anexo</w:t>
      </w:r>
      <w:r w:rsidRPr="00A325B3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I</w:t>
      </w:r>
      <w:r w:rsidRPr="00A325B3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–</w:t>
      </w:r>
      <w:r w:rsidRPr="00A325B3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Estrutura</w:t>
      </w:r>
      <w:r w:rsidRPr="00A325B3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Consolidada</w:t>
      </w:r>
      <w:r w:rsidRPr="00A325B3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do</w:t>
      </w:r>
      <w:r w:rsidRPr="00A325B3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Plano</w:t>
      </w:r>
      <w:r w:rsidRPr="00A325B3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Plurianual</w:t>
      </w:r>
      <w:r w:rsidRPr="00A325B3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2026-2029</w:t>
      </w:r>
      <w:r w:rsidRPr="00A325B3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para</w:t>
      </w:r>
      <w:r w:rsidRPr="00A325B3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o</w:t>
      </w:r>
      <w:r w:rsidRPr="00A325B3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quadriênio</w:t>
      </w:r>
      <w:r w:rsidRPr="00A325B3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2026/2029,</w:t>
      </w:r>
    </w:p>
    <w:p w:rsidR="00DA3619" w:rsidRPr="00A325B3" w:rsidRDefault="00833624">
      <w:pPr>
        <w:spacing w:before="31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A325B3">
        <w:rPr>
          <w:rFonts w:ascii="Times New Roman" w:hAnsi="Times New Roman" w:cs="Times New Roman"/>
          <w:b/>
          <w:sz w:val="20"/>
          <w:szCs w:val="20"/>
        </w:rPr>
        <w:t>do</w:t>
      </w:r>
      <w:r w:rsidRPr="00A325B3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Projeto</w:t>
      </w:r>
      <w:r w:rsidRPr="00A325B3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de</w:t>
      </w:r>
      <w:r w:rsidRPr="00A325B3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Lei</w:t>
      </w:r>
      <w:r w:rsidRPr="00A325B3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E57BA0" w:rsidRPr="00A325B3">
        <w:rPr>
          <w:rFonts w:ascii="Times New Roman" w:hAnsi="Times New Roman" w:cs="Times New Roman"/>
          <w:b/>
          <w:spacing w:val="-5"/>
          <w:sz w:val="20"/>
          <w:szCs w:val="20"/>
        </w:rPr>
        <w:t>00</w:t>
      </w:r>
      <w:r w:rsidRPr="00A325B3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E57BA0" w:rsidRPr="00A325B3" w:rsidRDefault="00E57BA0">
      <w:pPr>
        <w:spacing w:before="31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A325B3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A325B3">
        <w:rPr>
          <w:rFonts w:ascii="Times New Roman" w:hAnsi="Times New Roman" w:cs="Times New Roman"/>
          <w:b/>
          <w:sz w:val="20"/>
          <w:szCs w:val="20"/>
        </w:rPr>
        <w:t>Art.1º</w:t>
      </w:r>
      <w:r w:rsidRPr="00A325B3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b/>
          <w:sz w:val="20"/>
          <w:szCs w:val="20"/>
        </w:rPr>
        <w:t>-</w:t>
      </w:r>
      <w:r w:rsidRPr="00A325B3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no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anexo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I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–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Estrutura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Consolidada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do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Plano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Plurianual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2026-2029</w:t>
      </w:r>
      <w:r w:rsidRPr="00A325B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para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o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quadriênio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2026/2029,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do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Projeto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de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sz w:val="20"/>
          <w:szCs w:val="20"/>
        </w:rPr>
        <w:t>Lei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E57BA0" w:rsidRPr="00A325B3">
        <w:rPr>
          <w:rFonts w:ascii="Times New Roman" w:hAnsi="Times New Roman" w:cs="Times New Roman"/>
          <w:sz w:val="20"/>
          <w:szCs w:val="20"/>
        </w:rPr>
        <w:t>00361</w:t>
      </w:r>
      <w:r w:rsidRPr="00A325B3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A325B3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A325B3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A325B3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A325B3" w:rsidRDefault="00F77643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ATENÇÃO À SAÚDE</w:t>
            </w:r>
          </w:p>
        </w:tc>
      </w:tr>
      <w:tr w:rsidR="00DA3619" w:rsidRPr="00A325B3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A325B3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A325B3">
              <w:rPr>
                <w:b/>
                <w:sz w:val="20"/>
                <w:szCs w:val="20"/>
              </w:rPr>
              <w:t>TÍTULO</w:t>
            </w:r>
            <w:r w:rsidRPr="00A325B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DO</w:t>
            </w:r>
            <w:r w:rsidRPr="00A325B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A325B3" w:rsidRDefault="0018441D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 xml:space="preserve"> Programa de Telemedicina na Atenção Básica</w:t>
            </w:r>
            <w:r w:rsidR="00E57BA0" w:rsidRPr="00A325B3">
              <w:rPr>
                <w:sz w:val="20"/>
                <w:szCs w:val="20"/>
              </w:rPr>
              <w:t xml:space="preserve"> Ampliado </w:t>
            </w:r>
          </w:p>
        </w:tc>
      </w:tr>
      <w:tr w:rsidR="00DA3619" w:rsidRPr="00A325B3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A325B3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A325B3">
              <w:rPr>
                <w:b/>
                <w:sz w:val="20"/>
                <w:szCs w:val="20"/>
              </w:rPr>
              <w:t>DESCRIÇÃO</w:t>
            </w:r>
            <w:r w:rsidRPr="00A325B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DO</w:t>
            </w:r>
            <w:r w:rsidRPr="00A325B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A325B3" w:rsidRDefault="00E57BA0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Ampliar</w:t>
            </w:r>
            <w:r w:rsidR="0018441D" w:rsidRPr="00A325B3">
              <w:rPr>
                <w:sz w:val="20"/>
                <w:szCs w:val="20"/>
              </w:rPr>
              <w:t xml:space="preserve"> o uso de teleconsultas, teleorientações e telemonitoramento para atendimento médico e de enfermagem na Atenção Básica, com ênfase no acompanhamento de doenças crônicas, saúde mental e populações em áreas de difícil acesso, garantindo a integração com o prontuário eletrônico do SUS.</w:t>
            </w:r>
          </w:p>
        </w:tc>
      </w:tr>
      <w:tr w:rsidR="00DA3619" w:rsidRPr="00A325B3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A325B3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A325B3">
              <w:rPr>
                <w:b/>
                <w:sz w:val="20"/>
                <w:szCs w:val="20"/>
              </w:rPr>
              <w:t>UNIDADE</w:t>
            </w:r>
            <w:r w:rsidRPr="00A325B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DE</w:t>
            </w:r>
            <w:r w:rsidRPr="00A325B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A325B3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A325B3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A325B3" w:rsidRDefault="00F77643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A325B3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A325B3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Mulheres,</w:t>
            </w:r>
            <w:r w:rsidRPr="00A325B3">
              <w:rPr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sz w:val="20"/>
                <w:szCs w:val="20"/>
              </w:rPr>
              <w:t>Niterói</w:t>
            </w:r>
            <w:r w:rsidRPr="00A325B3">
              <w:rPr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sz w:val="20"/>
                <w:szCs w:val="20"/>
              </w:rPr>
              <w:t>Jovem,</w:t>
            </w:r>
            <w:r w:rsidRPr="00A325B3">
              <w:rPr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sz w:val="20"/>
                <w:szCs w:val="20"/>
              </w:rPr>
              <w:t>Primeira</w:t>
            </w:r>
            <w:r w:rsidRPr="00A325B3">
              <w:rPr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spacing w:val="-2"/>
                <w:sz w:val="20"/>
                <w:szCs w:val="20"/>
              </w:rPr>
              <w:t>Infância,</w:t>
            </w:r>
          </w:p>
          <w:p w:rsidR="00DA3619" w:rsidRPr="00A325B3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A325B3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A325B3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A325B3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A325B3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A325B3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A325B3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A325B3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A325B3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A325B3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A325B3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A325B3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A325B3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Valor</w:t>
            </w:r>
            <w:r w:rsidRPr="00A325B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A325B3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A325B3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A325B3">
              <w:rPr>
                <w:b/>
                <w:sz w:val="20"/>
                <w:szCs w:val="20"/>
              </w:rPr>
              <w:t>Meta</w:t>
            </w:r>
            <w:r w:rsidRPr="00A325B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A325B3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Valor</w:t>
            </w:r>
            <w:r w:rsidRPr="00A325B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A325B3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A325B3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A325B3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Valor</w:t>
            </w:r>
            <w:r w:rsidRPr="00A325B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A325B3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A325B3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A325B3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4"/>
                <w:sz w:val="20"/>
                <w:szCs w:val="20"/>
              </w:rPr>
              <w:t>Valor</w:t>
            </w:r>
            <w:r w:rsidRPr="00A325B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A325B3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A325B3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A325B3">
        <w:trPr>
          <w:trHeight w:val="280"/>
        </w:trPr>
        <w:tc>
          <w:tcPr>
            <w:tcW w:w="940" w:type="dxa"/>
          </w:tcPr>
          <w:p w:rsidR="00DA3619" w:rsidRPr="00A325B3" w:rsidRDefault="006F1FAB">
            <w:pPr>
              <w:pStyle w:val="TableParagraph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30.000</w:t>
            </w:r>
          </w:p>
        </w:tc>
        <w:tc>
          <w:tcPr>
            <w:tcW w:w="800" w:type="dxa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6F1FAB" w:rsidRPr="00A325B3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F1FAB" w:rsidRPr="00A325B3" w:rsidRDefault="006F1FAB" w:rsidP="006F1FA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6F1FAB" w:rsidRPr="00A325B3" w:rsidRDefault="006F1FAB" w:rsidP="006F1FAB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6F1FAB" w:rsidRPr="00A325B3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6F1FAB" w:rsidRPr="00A325B3" w:rsidRDefault="006F1FAB" w:rsidP="006F1FA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 w:rsidRPr="00A325B3">
                    <w:rPr>
                      <w:sz w:val="20"/>
                      <w:szCs w:val="20"/>
                      <w:lang w:val="pt-BR"/>
                    </w:rPr>
                    <w:t>R$ 1.200.000,00</w:t>
                  </w:r>
                </w:p>
              </w:tc>
            </w:tr>
          </w:tbl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A325B3" w:rsidRDefault="006F1FAB">
            <w:pPr>
              <w:pStyle w:val="TableParagraph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35.000</w:t>
            </w:r>
          </w:p>
        </w:tc>
        <w:tc>
          <w:tcPr>
            <w:tcW w:w="1300" w:type="dxa"/>
            <w:gridSpan w:val="2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6F1FAB" w:rsidRPr="00A325B3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F1FAB" w:rsidRPr="00A325B3" w:rsidRDefault="006F1FAB" w:rsidP="006F1FA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6F1FAB" w:rsidRPr="00A325B3" w:rsidRDefault="006F1FAB" w:rsidP="006F1FAB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6F1FAB" w:rsidRPr="00A325B3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6F1FAB" w:rsidRPr="00A325B3" w:rsidRDefault="006F1FAB" w:rsidP="006F1FA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 w:rsidRPr="00A325B3">
                    <w:rPr>
                      <w:sz w:val="20"/>
                      <w:szCs w:val="20"/>
                      <w:lang w:val="pt-BR"/>
                    </w:rPr>
                    <w:t>R$ 1.300.000,00</w:t>
                  </w:r>
                </w:p>
              </w:tc>
            </w:tr>
          </w:tbl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A325B3" w:rsidRDefault="006F1FAB">
            <w:pPr>
              <w:pStyle w:val="TableParagraph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40.000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A325B3" w:rsidRDefault="006F1FAB">
            <w:pPr>
              <w:pStyle w:val="TableParagraph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  <w:lang w:val="pt-BR"/>
              </w:rPr>
              <w:t xml:space="preserve">R$ </w:t>
            </w:r>
            <w:r w:rsidRPr="00A325B3">
              <w:rPr>
                <w:sz w:val="20"/>
                <w:szCs w:val="20"/>
              </w:rPr>
              <w:t>1.400.000,00</w:t>
            </w:r>
          </w:p>
        </w:tc>
        <w:tc>
          <w:tcPr>
            <w:tcW w:w="1380" w:type="dxa"/>
            <w:vMerge w:val="restart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A325B3" w:rsidRDefault="006F1FAB">
            <w:pPr>
              <w:pStyle w:val="TableParagraph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45.000</w:t>
            </w:r>
          </w:p>
        </w:tc>
        <w:tc>
          <w:tcPr>
            <w:tcW w:w="860" w:type="dxa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6F1FAB" w:rsidRPr="00A325B3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F1FAB" w:rsidRPr="00A325B3" w:rsidRDefault="006F1FAB" w:rsidP="006F1FA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6F1FAB" w:rsidRPr="00A325B3" w:rsidRDefault="006F1FAB" w:rsidP="006F1FAB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6F1FAB" w:rsidRPr="00A325B3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6F1FAB" w:rsidRPr="00A325B3" w:rsidRDefault="006F1FAB" w:rsidP="006F1FA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 w:rsidRPr="00A325B3">
                    <w:rPr>
                      <w:sz w:val="20"/>
                      <w:szCs w:val="20"/>
                      <w:lang w:val="pt-BR"/>
                    </w:rPr>
                    <w:t xml:space="preserve">R$ </w:t>
                  </w:r>
                  <w:proofErr w:type="gramStart"/>
                  <w:r w:rsidRPr="00A325B3">
                    <w:rPr>
                      <w:sz w:val="20"/>
                      <w:szCs w:val="20"/>
                      <w:lang w:val="pt-BR"/>
                    </w:rPr>
                    <w:t>1.500.000</w:t>
                  </w:r>
                  <w:r w:rsidR="00E57BA0" w:rsidRPr="00A325B3">
                    <w:rPr>
                      <w:sz w:val="20"/>
                      <w:szCs w:val="20"/>
                      <w:lang w:val="pt-BR"/>
                    </w:rPr>
                    <w:t>,</w:t>
                  </w:r>
                  <w:r w:rsidRPr="00A325B3">
                    <w:rPr>
                      <w:sz w:val="20"/>
                      <w:szCs w:val="20"/>
                      <w:lang w:val="pt-BR"/>
                    </w:rPr>
                    <w:t>,,</w:t>
                  </w:r>
                  <w:proofErr w:type="gramEnd"/>
                  <w:r w:rsidRPr="00A325B3">
                    <w:rPr>
                      <w:sz w:val="20"/>
                      <w:szCs w:val="20"/>
                      <w:lang w:val="pt-BR"/>
                    </w:rPr>
                    <w:t>00</w:t>
                  </w:r>
                </w:p>
              </w:tc>
            </w:tr>
          </w:tbl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A325B3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A325B3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A325B3">
        <w:trPr>
          <w:trHeight w:val="300"/>
        </w:trPr>
        <w:tc>
          <w:tcPr>
            <w:tcW w:w="940" w:type="dxa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A325B3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A325B3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A325B3">
        <w:trPr>
          <w:trHeight w:val="299"/>
        </w:trPr>
        <w:tc>
          <w:tcPr>
            <w:tcW w:w="940" w:type="dxa"/>
          </w:tcPr>
          <w:p w:rsidR="00DA3619" w:rsidRPr="00A325B3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A325B3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A325B3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A325B3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A325B3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A325B3">
        <w:trPr>
          <w:trHeight w:val="299"/>
        </w:trPr>
        <w:tc>
          <w:tcPr>
            <w:tcW w:w="940" w:type="dxa"/>
          </w:tcPr>
          <w:p w:rsidR="00DA3619" w:rsidRPr="00A325B3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A325B3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A325B3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A325B3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A325B3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A325B3">
        <w:trPr>
          <w:trHeight w:val="280"/>
        </w:trPr>
        <w:tc>
          <w:tcPr>
            <w:tcW w:w="940" w:type="dxa"/>
          </w:tcPr>
          <w:p w:rsidR="00DA3619" w:rsidRPr="00A325B3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A325B3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A325B3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A325B3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A325B3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A325B3">
        <w:trPr>
          <w:trHeight w:val="300"/>
        </w:trPr>
        <w:tc>
          <w:tcPr>
            <w:tcW w:w="940" w:type="dxa"/>
          </w:tcPr>
          <w:p w:rsidR="00DA3619" w:rsidRPr="00A325B3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A325B3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A325B3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A325B3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A325B3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A325B3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>Praias</w:t>
            </w:r>
            <w:r w:rsidRPr="00A325B3">
              <w:rPr>
                <w:spacing w:val="-4"/>
                <w:sz w:val="20"/>
                <w:szCs w:val="20"/>
              </w:rPr>
              <w:t xml:space="preserve"> </w:t>
            </w:r>
            <w:r w:rsidRPr="00A325B3">
              <w:rPr>
                <w:sz w:val="20"/>
                <w:szCs w:val="20"/>
              </w:rPr>
              <w:t>da</w:t>
            </w:r>
            <w:r w:rsidRPr="00A325B3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A325B3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A325B3">
        <w:rPr>
          <w:rFonts w:ascii="Times New Roman" w:hAnsi="Times New Roman" w:cs="Times New Roman"/>
          <w:i/>
          <w:sz w:val="20"/>
          <w:szCs w:val="20"/>
        </w:rPr>
        <w:t>Os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campos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acima servem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a(s) meta(s)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física(s)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e valor(s)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o produto,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é opcional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informar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a região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e/ou meta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física para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A325B3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A325B3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A325B3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A325B3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A325B3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A325B3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A325B3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A325B3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A325B3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A325B3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A325B3">
              <w:rPr>
                <w:b/>
                <w:sz w:val="20"/>
                <w:szCs w:val="20"/>
              </w:rPr>
              <w:t>PROGRAMA</w:t>
            </w:r>
            <w:r w:rsidRPr="00A325B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DE</w:t>
            </w:r>
            <w:r w:rsidRPr="00A325B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ORIGEM</w:t>
            </w:r>
            <w:r w:rsidRPr="00A325B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DO</w:t>
            </w:r>
            <w:r w:rsidRPr="00A325B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VALOR</w:t>
            </w:r>
            <w:r w:rsidRPr="00A325B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DE</w:t>
            </w:r>
            <w:r w:rsidRPr="00A325B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A325B3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VALOR</w:t>
            </w:r>
            <w:r w:rsidRPr="00A325B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PROPOSTO</w:t>
            </w:r>
            <w:r w:rsidRPr="00A325B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PARA</w:t>
            </w:r>
            <w:r w:rsidRPr="00A325B3">
              <w:rPr>
                <w:b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COMPENSAÇÃO</w:t>
            </w:r>
            <w:r w:rsidRPr="00A325B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DA</w:t>
            </w:r>
            <w:r w:rsidRPr="00A325B3">
              <w:rPr>
                <w:b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A325B3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A325B3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A325B3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A325B3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A325B3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A325B3">
              <w:rPr>
                <w:b/>
                <w:sz w:val="20"/>
                <w:szCs w:val="20"/>
              </w:rPr>
              <w:t>PROGRAMA</w:t>
            </w:r>
            <w:r w:rsidRPr="00A325B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DE</w:t>
            </w:r>
            <w:r w:rsidRPr="00A325B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ORIGEM</w:t>
            </w:r>
            <w:r w:rsidRPr="00A325B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DO</w:t>
            </w:r>
            <w:r w:rsidRPr="00A325B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VALOR</w:t>
            </w:r>
            <w:r w:rsidRPr="00A325B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A325B3">
              <w:rPr>
                <w:b/>
                <w:sz w:val="20"/>
                <w:szCs w:val="20"/>
              </w:rPr>
              <w:t>DE</w:t>
            </w:r>
            <w:r w:rsidRPr="00A325B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A325B3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A325B3">
              <w:rPr>
                <w:b/>
                <w:spacing w:val="-2"/>
                <w:sz w:val="20"/>
                <w:szCs w:val="20"/>
              </w:rPr>
              <w:t>VALOR</w:t>
            </w:r>
            <w:r w:rsidRPr="00A325B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PROPOSTO</w:t>
            </w:r>
            <w:r w:rsidRPr="00A325B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PARA</w:t>
            </w:r>
            <w:r w:rsidRPr="00A325B3">
              <w:rPr>
                <w:b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COMPENSAÇÃO</w:t>
            </w:r>
            <w:r w:rsidRPr="00A325B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DA</w:t>
            </w:r>
            <w:r w:rsidRPr="00A325B3">
              <w:rPr>
                <w:b/>
                <w:sz w:val="20"/>
                <w:szCs w:val="20"/>
              </w:rPr>
              <w:t xml:space="preserve"> </w:t>
            </w:r>
            <w:r w:rsidRPr="00A325B3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A325B3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A325B3" w:rsidRDefault="00CB75E9">
            <w:pPr>
              <w:pStyle w:val="TableParagraph"/>
              <w:rPr>
                <w:sz w:val="20"/>
                <w:szCs w:val="20"/>
              </w:rPr>
            </w:pPr>
            <w:r w:rsidRPr="00A325B3">
              <w:rPr>
                <w:sz w:val="20"/>
                <w:szCs w:val="20"/>
              </w:rPr>
              <w:t xml:space="preserve">  ATENÇÃO À SAÚDE 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A325B3" w:rsidRDefault="006A791D" w:rsidP="006A791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6F1FAB" w:rsidRPr="00A325B3">
              <w:rPr>
                <w:sz w:val="20"/>
                <w:szCs w:val="20"/>
              </w:rPr>
              <w:t>R$ 5.400.000,00</w:t>
            </w:r>
          </w:p>
        </w:tc>
      </w:tr>
    </w:tbl>
    <w:p w:rsidR="00DA3619" w:rsidRPr="00A325B3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A325B3">
        <w:rPr>
          <w:rFonts w:ascii="Times New Roman" w:hAnsi="Times New Roman" w:cs="Times New Roman"/>
          <w:i/>
          <w:sz w:val="20"/>
          <w:szCs w:val="20"/>
        </w:rPr>
        <w:t>Os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campos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acima servem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de qual(s)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Programa(s)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o valor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programa de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origem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pode ser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o mesmo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>citado no</w:t>
      </w:r>
      <w:r w:rsidRPr="00A325B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A325B3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A325B3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A325B3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A325B3" w:rsidRDefault="00DA3619">
      <w:pPr>
        <w:pStyle w:val="Corpodetexto"/>
        <w:spacing w:before="180"/>
        <w:rPr>
          <w:rFonts w:ascii="Times New Roman" w:hAnsi="Times New Roman" w:cs="Times New Roman"/>
          <w:i/>
          <w:sz w:val="24"/>
          <w:szCs w:val="24"/>
        </w:rPr>
      </w:pPr>
    </w:p>
    <w:p w:rsidR="00DA3619" w:rsidRPr="00A325B3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A325B3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27131A" w:rsidRPr="00A325B3" w:rsidRDefault="0027131A" w:rsidP="0027131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E57BA0" w:rsidRPr="00FB737C" w:rsidRDefault="00E57BA0" w:rsidP="00E57BA0">
      <w:pPr>
        <w:pStyle w:val="Corpodetexto"/>
        <w:ind w:firstLine="720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A presente emenda visa ampliar o Programa de Telemedicina na Atenção Básica, inserindo-o na Estrutura Consolidada do Plano Plurianual 2026-2029, como estratégia inovadora para fortalecer a rede de saúde do Município de Niterói.</w:t>
      </w:r>
    </w:p>
    <w:p w:rsidR="00E57BA0" w:rsidRPr="00FB737C" w:rsidRDefault="00E57BA0" w:rsidP="00A325B3">
      <w:pPr>
        <w:pStyle w:val="Corpodetexto"/>
        <w:ind w:firstLine="720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A telemedicina constitui instrumento reconhecido pelo Ministério da Saúde (Portaria nº 467/2020 e Resolução CFM nº 2.314/2022) como ferramenta legítima de atendimento em saúde, com vistas a garantir acessibilidade, continuidade e eficiência na prestação dos serviços, especialmente no âmbito da Atenção Primária, porta de entrada do Sistema Único de Saúde.</w:t>
      </w:r>
    </w:p>
    <w:p w:rsidR="00E57BA0" w:rsidRPr="00FB737C" w:rsidRDefault="00E57BA0" w:rsidP="00A325B3">
      <w:pPr>
        <w:pStyle w:val="Corpodetexto"/>
        <w:ind w:firstLine="720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O Município de Niterói, com áreas de grande densidade populacional e outras de difícil acesso, demanda soluções tecnológicas que reduzam barreiras geográficas e sociais. A ampliação da telemedicina permitirá:</w:t>
      </w:r>
    </w:p>
    <w:p w:rsidR="00E57BA0" w:rsidRPr="00FB737C" w:rsidRDefault="00E57BA0" w:rsidP="00E57BA0">
      <w:pPr>
        <w:pStyle w:val="Corpodetexto"/>
        <w:rPr>
          <w:rFonts w:ascii="Times New Roman" w:hAnsi="Times New Roman" w:cs="Times New Roman"/>
        </w:rPr>
      </w:pPr>
    </w:p>
    <w:p w:rsidR="00E57BA0" w:rsidRPr="00FB737C" w:rsidRDefault="00E57BA0" w:rsidP="00A325B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Redução de filas e tempo de espera para consultas médicas e de enfermagem;</w:t>
      </w:r>
    </w:p>
    <w:p w:rsidR="00E57BA0" w:rsidRPr="00FB737C" w:rsidRDefault="00E57BA0" w:rsidP="00E57BA0">
      <w:pPr>
        <w:pStyle w:val="Corpodetexto"/>
        <w:rPr>
          <w:rFonts w:ascii="Times New Roman" w:hAnsi="Times New Roman" w:cs="Times New Roman"/>
        </w:rPr>
      </w:pPr>
    </w:p>
    <w:p w:rsidR="00E57BA0" w:rsidRPr="00FB737C" w:rsidRDefault="00E57BA0" w:rsidP="00A325B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Acompanhamento contínuo de pacientes com doenças crônicas (hipertensão, diabetes, entre outras), mitigando riscos de complicações e internações hospitalares;</w:t>
      </w:r>
    </w:p>
    <w:p w:rsidR="00E57BA0" w:rsidRPr="00FB737C" w:rsidRDefault="00E57BA0" w:rsidP="00E57BA0">
      <w:pPr>
        <w:pStyle w:val="Corpodetexto"/>
        <w:rPr>
          <w:rFonts w:ascii="Times New Roman" w:hAnsi="Times New Roman" w:cs="Times New Roman"/>
        </w:rPr>
      </w:pPr>
    </w:p>
    <w:p w:rsidR="00E57BA0" w:rsidRPr="00FB737C" w:rsidRDefault="00E57BA0" w:rsidP="00A325B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Fortalecimento da saúde mental, garantindo acesso rápido a orientações psicológicas e psiquiátricas;</w:t>
      </w:r>
    </w:p>
    <w:p w:rsidR="00E57BA0" w:rsidRPr="00FB737C" w:rsidRDefault="00E57BA0" w:rsidP="00E57BA0">
      <w:pPr>
        <w:pStyle w:val="Corpodetexto"/>
        <w:rPr>
          <w:rFonts w:ascii="Times New Roman" w:hAnsi="Times New Roman" w:cs="Times New Roman"/>
        </w:rPr>
      </w:pPr>
    </w:p>
    <w:p w:rsidR="00E57BA0" w:rsidRPr="00FB737C" w:rsidRDefault="00E57BA0" w:rsidP="00A325B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Inclusão de populações vulneráveis, como moradores de regiões periféricas e idosos, com maior dificuldade de deslocamento;</w:t>
      </w:r>
    </w:p>
    <w:p w:rsidR="00E57BA0" w:rsidRPr="00FB737C" w:rsidRDefault="00E57BA0" w:rsidP="00E57BA0">
      <w:pPr>
        <w:pStyle w:val="Corpodetexto"/>
        <w:rPr>
          <w:rFonts w:ascii="Times New Roman" w:hAnsi="Times New Roman" w:cs="Times New Roman"/>
        </w:rPr>
      </w:pPr>
    </w:p>
    <w:p w:rsidR="00E57BA0" w:rsidRPr="00FB737C" w:rsidRDefault="00E57BA0" w:rsidP="00A325B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Integração com o prontuário eletrônico do SUS, assegurando segurança da informação, histórico clínico atualizado e maior resolutividade da rede.</w:t>
      </w:r>
    </w:p>
    <w:p w:rsidR="00E57BA0" w:rsidRPr="00FB737C" w:rsidRDefault="00E57BA0" w:rsidP="00E57BA0">
      <w:pPr>
        <w:pStyle w:val="Corpodetexto"/>
        <w:rPr>
          <w:rFonts w:ascii="Times New Roman" w:hAnsi="Times New Roman" w:cs="Times New Roman"/>
        </w:rPr>
      </w:pPr>
    </w:p>
    <w:p w:rsidR="00A325B3" w:rsidRPr="00FB737C" w:rsidRDefault="00A325B3" w:rsidP="00E57BA0">
      <w:pPr>
        <w:pStyle w:val="Corpodetexto"/>
        <w:rPr>
          <w:rFonts w:ascii="Times New Roman" w:hAnsi="Times New Roman" w:cs="Times New Roman"/>
        </w:rPr>
      </w:pPr>
    </w:p>
    <w:p w:rsidR="00A325B3" w:rsidRPr="00FB737C" w:rsidRDefault="00A325B3" w:rsidP="00A325B3">
      <w:pPr>
        <w:pStyle w:val="Corpodetexto"/>
        <w:ind w:firstLine="720"/>
        <w:rPr>
          <w:rFonts w:ascii="Times New Roman" w:hAnsi="Times New Roman" w:cs="Times New Roman"/>
        </w:rPr>
      </w:pPr>
    </w:p>
    <w:p w:rsidR="00E57BA0" w:rsidRPr="00FB737C" w:rsidRDefault="00E57BA0" w:rsidP="00A325B3">
      <w:pPr>
        <w:pStyle w:val="Corpodetexto"/>
        <w:ind w:firstLine="720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Do ponto de vista jurídico, a medida concretiza os princípios constitucionais do direito à saúde (art. 6º e art. 196 da CF/88), da eficiência administrativa (art. 37 da CF/88) e da integralidade da atenção, diretriz expressa da Lei nº 8.080/1990. Ademais, encontra amparo no Plano Nacional de Saúde Digital (2020-</w:t>
      </w:r>
      <w:r w:rsidRPr="00FB737C">
        <w:rPr>
          <w:rFonts w:ascii="Times New Roman" w:hAnsi="Times New Roman" w:cs="Times New Roman"/>
        </w:rPr>
        <w:lastRenderedPageBreak/>
        <w:t>2028), que reconhece a telemedicina como vetor estratégico para a modernização do SUS.</w:t>
      </w:r>
    </w:p>
    <w:p w:rsidR="00E57BA0" w:rsidRPr="00FB737C" w:rsidRDefault="00E57BA0" w:rsidP="00A325B3">
      <w:pPr>
        <w:pStyle w:val="Corpodetexto"/>
        <w:ind w:firstLine="720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Trata-se, portanto, de iniciativa que não apenas moderniza a rede de Atenção Básica, mas também garante maior equidade na distribuição de serviços de saúde, com impacto positivo sobre os indicadores municipais e redução de custos a médio e longo prazo.</w:t>
      </w:r>
    </w:p>
    <w:p w:rsidR="00833624" w:rsidRPr="00FB737C" w:rsidRDefault="00E57BA0" w:rsidP="00A325B3">
      <w:pPr>
        <w:pStyle w:val="Corpodetexto"/>
        <w:ind w:firstLine="720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>Assim, a aprovação desta emenda representa investimento essencial em inovação e cuidado humanizado, tornando Niterói referência nacional em saúde digital e ampliando o acesso universal à saúde de qualidade.</w:t>
      </w: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A325B3" w:rsidRPr="00FB737C" w:rsidRDefault="00A325B3">
      <w:pPr>
        <w:pStyle w:val="Corpodetexto"/>
        <w:rPr>
          <w:rFonts w:ascii="Times New Roman" w:hAnsi="Times New Roman" w:cs="Times New Roman"/>
        </w:rPr>
      </w:pPr>
    </w:p>
    <w:p w:rsidR="00A325B3" w:rsidRPr="00FB737C" w:rsidRDefault="00A325B3">
      <w:pPr>
        <w:pStyle w:val="Corpodetexto"/>
        <w:rPr>
          <w:rFonts w:ascii="Times New Roman" w:hAnsi="Times New Roman" w:cs="Times New Roman"/>
        </w:rPr>
      </w:pPr>
    </w:p>
    <w:p w:rsidR="00A325B3" w:rsidRPr="00FB737C" w:rsidRDefault="00A325B3">
      <w:pPr>
        <w:pStyle w:val="Corpodetexto"/>
        <w:rPr>
          <w:rFonts w:ascii="Times New Roman" w:hAnsi="Times New Roman" w:cs="Times New Roman"/>
        </w:rPr>
      </w:pPr>
    </w:p>
    <w:p w:rsidR="00833624" w:rsidRPr="00FB737C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 xml:space="preserve">Sala das Sessões, </w:t>
      </w:r>
      <w:r w:rsidR="00F77643" w:rsidRPr="00FB737C">
        <w:rPr>
          <w:rFonts w:ascii="Times New Roman" w:hAnsi="Times New Roman" w:cs="Times New Roman"/>
        </w:rPr>
        <w:t>17</w:t>
      </w:r>
      <w:r w:rsidRPr="00FB737C">
        <w:rPr>
          <w:rFonts w:ascii="Times New Roman" w:hAnsi="Times New Roman" w:cs="Times New Roman"/>
        </w:rPr>
        <w:t xml:space="preserve"> de setembro de </w:t>
      </w:r>
      <w:r w:rsidRPr="00FB737C">
        <w:rPr>
          <w:rFonts w:ascii="Times New Roman" w:hAnsi="Times New Roman" w:cs="Times New Roman"/>
          <w:spacing w:val="-2"/>
        </w:rPr>
        <w:t>2025.</w:t>
      </w: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B737C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FB737C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FB737C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FB737C">
        <w:rPr>
          <w:rFonts w:ascii="Times New Roman" w:hAnsi="Times New Roman" w:cs="Times New Roman"/>
        </w:rPr>
        <w:tab/>
      </w:r>
      <w:r w:rsidRPr="00FB737C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737C">
        <w:rPr>
          <w:rFonts w:ascii="Times New Roman" w:hAnsi="Times New Roman" w:cs="Times New Roman"/>
        </w:rPr>
        <w:tab/>
      </w:r>
    </w:p>
    <w:p w:rsidR="00DA3619" w:rsidRPr="00FB737C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FB737C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FB737C">
        <w:rPr>
          <w:rFonts w:ascii="Times New Roman" w:hAnsi="Times New Roman" w:cs="Times New Roman"/>
          <w:b/>
        </w:rPr>
        <w:t>Rodrigo Farah</w:t>
      </w:r>
    </w:p>
    <w:p w:rsidR="00DA3619" w:rsidRPr="00FB737C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FB737C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FB737C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299B" w:rsidRDefault="0023299B">
      <w:r>
        <w:separator/>
      </w:r>
    </w:p>
  </w:endnote>
  <w:endnote w:type="continuationSeparator" w:id="0">
    <w:p w:rsidR="0023299B" w:rsidRDefault="00232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299B" w:rsidRDefault="0023299B">
      <w:r>
        <w:separator/>
      </w:r>
    </w:p>
  </w:footnote>
  <w:footnote w:type="continuationSeparator" w:id="0">
    <w:p w:rsidR="0023299B" w:rsidRDefault="00232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1215C"/>
    <w:multiLevelType w:val="hybridMultilevel"/>
    <w:tmpl w:val="9EE2D5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4150B6"/>
    <w:multiLevelType w:val="multilevel"/>
    <w:tmpl w:val="4928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298608">
    <w:abstractNumId w:val="1"/>
  </w:num>
  <w:num w:numId="2" w16cid:durableId="1870025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8441D"/>
    <w:rsid w:val="00206FFD"/>
    <w:rsid w:val="0023299B"/>
    <w:rsid w:val="0027131A"/>
    <w:rsid w:val="003812C7"/>
    <w:rsid w:val="005C7EE0"/>
    <w:rsid w:val="005D26E6"/>
    <w:rsid w:val="006A791D"/>
    <w:rsid w:val="006D2A53"/>
    <w:rsid w:val="006F1FAB"/>
    <w:rsid w:val="007F060B"/>
    <w:rsid w:val="00833624"/>
    <w:rsid w:val="008F6820"/>
    <w:rsid w:val="00A325B3"/>
    <w:rsid w:val="00BD3945"/>
    <w:rsid w:val="00CB75E9"/>
    <w:rsid w:val="00D46AAD"/>
    <w:rsid w:val="00DA3619"/>
    <w:rsid w:val="00E55979"/>
    <w:rsid w:val="00E57BA0"/>
    <w:rsid w:val="00EF727D"/>
    <w:rsid w:val="00F75D23"/>
    <w:rsid w:val="00F77643"/>
    <w:rsid w:val="00FB737C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6FBA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690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8</cp:revision>
  <dcterms:created xsi:type="dcterms:W3CDTF">2025-09-17T18:25:00Z</dcterms:created>
  <dcterms:modified xsi:type="dcterms:W3CDTF">2025-10-15T18:59:00Z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