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Censo para Pessoas com Deficiência realizado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0915 | Niterói pela Acessibilidade e Inclusão,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0915 | Niterói pela Acessibilidade e Inclusão,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0915 |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Censo para Pessoas com Deficiência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Realização de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levantamento censitário municipal específico sobre pessoas com deficiência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com questionário padronizado e acessível (Libras, leitura fácil, audiodescrição e versões em Braille quando necessário),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coleta domiciliar e institucional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georreferenciamento de registros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integração com cadastros sociais (p. ex., CadÚnico) e consolidação de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microdados anonimizados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 Inclui: desenho metodológico (definições alinhadas à Convenção sobre os Direitos das Pessoas com Deficiência e à Lei Brasileira de Inclusão – Lei nº 13.146/2015), contratação/treinamento de recenseadores, aquisição de tablets e softwares, teste-piloto, campo, crítica/validação,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relatório analítico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mapas temáticos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painel público online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de atualização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SECONSER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R$ 80.000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Município carece de </w:t>
      </w:r>
      <w:r w:rsidDel="00000000" w:rsidR="00000000" w:rsidRPr="00000000">
        <w:rPr>
          <w:b w:val="1"/>
          <w:sz w:val="20"/>
          <w:szCs w:val="20"/>
          <w:rtl w:val="0"/>
        </w:rPr>
        <w:t xml:space="preserve">dados específicos, atualizados e territorializados</w:t>
      </w:r>
      <w:r w:rsidDel="00000000" w:rsidR="00000000" w:rsidRPr="00000000">
        <w:rPr>
          <w:sz w:val="20"/>
          <w:szCs w:val="20"/>
          <w:rtl w:val="0"/>
        </w:rPr>
        <w:t xml:space="preserve"> sobre a população com deficiência, suas </w:t>
      </w:r>
      <w:r w:rsidDel="00000000" w:rsidR="00000000" w:rsidRPr="00000000">
        <w:rPr>
          <w:b w:val="1"/>
          <w:sz w:val="20"/>
          <w:szCs w:val="20"/>
          <w:rtl w:val="0"/>
        </w:rPr>
        <w:t xml:space="preserve">barreiras</w:t>
      </w:r>
      <w:r w:rsidDel="00000000" w:rsidR="00000000" w:rsidRPr="00000000">
        <w:rPr>
          <w:sz w:val="20"/>
          <w:szCs w:val="20"/>
          <w:rtl w:val="0"/>
        </w:rPr>
        <w:t xml:space="preserve"> (físicas, comunicacionais, atitudinais) e </w:t>
      </w:r>
      <w:r w:rsidDel="00000000" w:rsidR="00000000" w:rsidRPr="00000000">
        <w:rPr>
          <w:b w:val="1"/>
          <w:sz w:val="20"/>
          <w:szCs w:val="20"/>
          <w:rtl w:val="0"/>
        </w:rPr>
        <w:t xml:space="preserve">necessidades de apoio</w:t>
      </w:r>
      <w:r w:rsidDel="00000000" w:rsidR="00000000" w:rsidRPr="00000000">
        <w:rPr>
          <w:sz w:val="20"/>
          <w:szCs w:val="20"/>
          <w:rtl w:val="0"/>
        </w:rPr>
        <w:t xml:space="preserve">. Sem essa base, políticas como </w:t>
      </w:r>
      <w:r w:rsidDel="00000000" w:rsidR="00000000" w:rsidRPr="00000000">
        <w:rPr>
          <w:b w:val="1"/>
          <w:sz w:val="20"/>
          <w:szCs w:val="20"/>
          <w:rtl w:val="0"/>
        </w:rPr>
        <w:t xml:space="preserve">acessibilidade urbana e arquitetônica</w:t>
      </w:r>
      <w:r w:rsidDel="00000000" w:rsidR="00000000" w:rsidRPr="00000000">
        <w:rPr>
          <w:sz w:val="20"/>
          <w:szCs w:val="20"/>
          <w:rtl w:val="0"/>
        </w:rPr>
        <w:t xml:space="preserve">, </w:t>
      </w:r>
      <w:r w:rsidDel="00000000" w:rsidR="00000000" w:rsidRPr="00000000">
        <w:rPr>
          <w:b w:val="1"/>
          <w:sz w:val="20"/>
          <w:szCs w:val="20"/>
          <w:rtl w:val="0"/>
        </w:rPr>
        <w:t xml:space="preserve">educação inclusiva</w:t>
      </w:r>
      <w:r w:rsidDel="00000000" w:rsidR="00000000" w:rsidRPr="00000000">
        <w:rPr>
          <w:sz w:val="20"/>
          <w:szCs w:val="20"/>
          <w:rtl w:val="0"/>
        </w:rPr>
        <w:t xml:space="preserve">, </w:t>
      </w:r>
      <w:r w:rsidDel="00000000" w:rsidR="00000000" w:rsidRPr="00000000">
        <w:rPr>
          <w:b w:val="1"/>
          <w:sz w:val="20"/>
          <w:szCs w:val="20"/>
          <w:rtl w:val="0"/>
        </w:rPr>
        <w:t xml:space="preserve">reabilitação</w:t>
      </w:r>
      <w:r w:rsidDel="00000000" w:rsidR="00000000" w:rsidRPr="00000000">
        <w:rPr>
          <w:sz w:val="20"/>
          <w:szCs w:val="20"/>
          <w:rtl w:val="0"/>
        </w:rPr>
        <w:t xml:space="preserve"> e </w:t>
      </w:r>
      <w:r w:rsidDel="00000000" w:rsidR="00000000" w:rsidRPr="00000000">
        <w:rPr>
          <w:b w:val="1"/>
          <w:sz w:val="20"/>
          <w:szCs w:val="20"/>
          <w:rtl w:val="0"/>
        </w:rPr>
        <w:t xml:space="preserve">inserção laboral</w:t>
      </w:r>
      <w:r w:rsidDel="00000000" w:rsidR="00000000" w:rsidRPr="00000000">
        <w:rPr>
          <w:sz w:val="20"/>
          <w:szCs w:val="20"/>
          <w:rtl w:val="0"/>
        </w:rPr>
        <w:t xml:space="preserve"> são planejadas com baixa precisão e custo-efetividade.</w:t>
      </w:r>
    </w:p>
    <w:p w:rsidR="00000000" w:rsidDel="00000000" w:rsidP="00000000" w:rsidRDefault="00000000" w:rsidRPr="00000000" w14:paraId="000000E3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</w:t>
      </w:r>
      <w:r w:rsidDel="00000000" w:rsidR="00000000" w:rsidRPr="00000000">
        <w:rPr>
          <w:b w:val="1"/>
          <w:sz w:val="20"/>
          <w:szCs w:val="20"/>
          <w:rtl w:val="0"/>
        </w:rPr>
        <w:t xml:space="preserve">Censo Municipal da PcD</w:t>
      </w:r>
      <w:r w:rsidDel="00000000" w:rsidR="00000000" w:rsidRPr="00000000">
        <w:rPr>
          <w:sz w:val="20"/>
          <w:szCs w:val="20"/>
          <w:rtl w:val="0"/>
        </w:rPr>
        <w:t xml:space="preserve"> permite:</w:t>
      </w:r>
    </w:p>
    <w:p w:rsidR="00000000" w:rsidDel="00000000" w:rsidP="00000000" w:rsidRDefault="00000000" w:rsidRPr="00000000" w14:paraId="000000E4">
      <w:pPr>
        <w:widowControl w:val="0"/>
        <w:numPr>
          <w:ilvl w:val="0"/>
          <w:numId w:val="1"/>
        </w:numPr>
        <w:spacing w:after="0" w:afterAutospacing="0" w:before="240" w:line="279" w:lineRule="auto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Quantificar e localizar</w:t>
      </w:r>
      <w:r w:rsidDel="00000000" w:rsidR="00000000" w:rsidRPr="00000000">
        <w:rPr>
          <w:sz w:val="20"/>
          <w:szCs w:val="20"/>
          <w:rtl w:val="0"/>
        </w:rPr>
        <w:t xml:space="preserve"> a PcD por </w:t>
      </w:r>
      <w:r w:rsidDel="00000000" w:rsidR="00000000" w:rsidRPr="00000000">
        <w:rPr>
          <w:b w:val="1"/>
          <w:sz w:val="20"/>
          <w:szCs w:val="20"/>
          <w:rtl w:val="0"/>
        </w:rPr>
        <w:t xml:space="preserve">tipo de deficiência e ciclo de vida</w:t>
      </w:r>
      <w:r w:rsidDel="00000000" w:rsidR="00000000" w:rsidRPr="00000000">
        <w:rPr>
          <w:sz w:val="20"/>
          <w:szCs w:val="20"/>
          <w:rtl w:val="0"/>
        </w:rPr>
        <w:t xml:space="preserve">, orientando investimento onde o déficit é maior;</w:t>
        <w:br w:type="textWrapping"/>
      </w:r>
    </w:p>
    <w:p w:rsidR="00000000" w:rsidDel="00000000" w:rsidP="00000000" w:rsidRDefault="00000000" w:rsidRPr="00000000" w14:paraId="000000E5">
      <w:pPr>
        <w:widowControl w:val="0"/>
        <w:numPr>
          <w:ilvl w:val="0"/>
          <w:numId w:val="1"/>
        </w:numPr>
        <w:spacing w:after="0" w:afterAutospacing="0" w:before="0" w:beforeAutospacing="0" w:line="279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Identificar </w:t>
      </w:r>
      <w:r w:rsidDel="00000000" w:rsidR="00000000" w:rsidRPr="00000000">
        <w:rPr>
          <w:b w:val="1"/>
          <w:sz w:val="20"/>
          <w:szCs w:val="20"/>
          <w:rtl w:val="0"/>
        </w:rPr>
        <w:t xml:space="preserve">barreiras prioritárias</w:t>
      </w:r>
      <w:r w:rsidDel="00000000" w:rsidR="00000000" w:rsidRPr="00000000">
        <w:rPr>
          <w:sz w:val="20"/>
          <w:szCs w:val="20"/>
          <w:rtl w:val="0"/>
        </w:rPr>
        <w:t xml:space="preserve"> (calçadas, transporte, escolas, unidades de saúde, serviços públicos) e </w:t>
      </w:r>
      <w:r w:rsidDel="00000000" w:rsidR="00000000" w:rsidRPr="00000000">
        <w:rPr>
          <w:b w:val="1"/>
          <w:sz w:val="20"/>
          <w:szCs w:val="20"/>
          <w:rtl w:val="0"/>
        </w:rPr>
        <w:t xml:space="preserve">custos de mitigação</w:t>
      </w:r>
      <w:r w:rsidDel="00000000" w:rsidR="00000000" w:rsidRPr="00000000">
        <w:rPr>
          <w:sz w:val="20"/>
          <w:szCs w:val="20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E6">
      <w:pPr>
        <w:widowControl w:val="0"/>
        <w:numPr>
          <w:ilvl w:val="0"/>
          <w:numId w:val="1"/>
        </w:numPr>
        <w:spacing w:after="0" w:afterAutospacing="0" w:before="0" w:beforeAutospacing="0" w:line="279" w:lineRule="auto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Reprogramar metas</w:t>
      </w:r>
      <w:r w:rsidDel="00000000" w:rsidR="00000000" w:rsidRPr="00000000">
        <w:rPr>
          <w:sz w:val="20"/>
          <w:szCs w:val="20"/>
          <w:rtl w:val="0"/>
        </w:rPr>
        <w:t xml:space="preserve"> do PPA/LDO/LOA com base em evidências;</w:t>
        <w:br w:type="textWrapping"/>
      </w:r>
    </w:p>
    <w:p w:rsidR="00000000" w:rsidDel="00000000" w:rsidP="00000000" w:rsidRDefault="00000000" w:rsidRPr="00000000" w14:paraId="000000E7">
      <w:pPr>
        <w:widowControl w:val="0"/>
        <w:numPr>
          <w:ilvl w:val="0"/>
          <w:numId w:val="1"/>
        </w:numPr>
        <w:spacing w:after="0" w:afterAutospacing="0" w:before="0" w:beforeAutospacing="0" w:line="279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Garantir </w:t>
      </w:r>
      <w:r w:rsidDel="00000000" w:rsidR="00000000" w:rsidRPr="00000000">
        <w:rPr>
          <w:b w:val="1"/>
          <w:sz w:val="20"/>
          <w:szCs w:val="20"/>
          <w:rtl w:val="0"/>
        </w:rPr>
        <w:t xml:space="preserve">controle social qualificado</w:t>
      </w:r>
      <w:r w:rsidDel="00000000" w:rsidR="00000000" w:rsidRPr="00000000">
        <w:rPr>
          <w:sz w:val="20"/>
          <w:szCs w:val="20"/>
          <w:rtl w:val="0"/>
        </w:rPr>
        <w:t xml:space="preserve">, com dados abertos e acessíveis;</w:t>
        <w:br w:type="textWrapping"/>
      </w:r>
    </w:p>
    <w:p w:rsidR="00000000" w:rsidDel="00000000" w:rsidP="00000000" w:rsidRDefault="00000000" w:rsidRPr="00000000" w14:paraId="000000E8">
      <w:pPr>
        <w:widowControl w:val="0"/>
        <w:numPr>
          <w:ilvl w:val="0"/>
          <w:numId w:val="1"/>
        </w:numPr>
        <w:spacing w:after="240" w:before="0" w:beforeAutospacing="0" w:line="279" w:lineRule="auto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Harmonizar</w:t>
      </w:r>
      <w:r w:rsidDel="00000000" w:rsidR="00000000" w:rsidRPr="00000000">
        <w:rPr>
          <w:sz w:val="20"/>
          <w:szCs w:val="20"/>
          <w:rtl w:val="0"/>
        </w:rPr>
        <w:t xml:space="preserve"> o planejamento local às diretrizes da </w:t>
      </w:r>
      <w:r w:rsidDel="00000000" w:rsidR="00000000" w:rsidRPr="00000000">
        <w:rPr>
          <w:b w:val="1"/>
          <w:sz w:val="20"/>
          <w:szCs w:val="20"/>
          <w:rtl w:val="0"/>
        </w:rPr>
        <w:t xml:space="preserve">Convenção sobre os Direitos das Pessoas com Deficiência</w:t>
      </w:r>
      <w:r w:rsidDel="00000000" w:rsidR="00000000" w:rsidRPr="00000000">
        <w:rPr>
          <w:sz w:val="20"/>
          <w:szCs w:val="20"/>
          <w:rtl w:val="0"/>
        </w:rPr>
        <w:t xml:space="preserve"> e da </w:t>
      </w:r>
      <w:r w:rsidDel="00000000" w:rsidR="00000000" w:rsidRPr="00000000">
        <w:rPr>
          <w:b w:val="1"/>
          <w:sz w:val="20"/>
          <w:szCs w:val="20"/>
          <w:rtl w:val="0"/>
        </w:rPr>
        <w:t xml:space="preserve">Lei Brasileira de Inclusão</w:t>
      </w:r>
      <w:r w:rsidDel="00000000" w:rsidR="00000000" w:rsidRPr="00000000">
        <w:rPr>
          <w:sz w:val="20"/>
          <w:szCs w:val="20"/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entrega “</w:t>
      </w:r>
      <w:r w:rsidDel="00000000" w:rsidR="00000000" w:rsidRPr="00000000">
        <w:rPr>
          <w:b w:val="1"/>
          <w:sz w:val="20"/>
          <w:szCs w:val="20"/>
          <w:rtl w:val="0"/>
        </w:rPr>
        <w:t xml:space="preserve">Censo para Pessoas com Deficiência realizado</w:t>
      </w:r>
      <w:r w:rsidDel="00000000" w:rsidR="00000000" w:rsidRPr="00000000">
        <w:rPr>
          <w:sz w:val="20"/>
          <w:szCs w:val="20"/>
          <w:rtl w:val="0"/>
        </w:rPr>
        <w:t xml:space="preserve">” (unidade = 1) no biênio 2026–2027 viabiliza, já em 2028–2029, a </w:t>
      </w:r>
      <w:r w:rsidDel="00000000" w:rsidR="00000000" w:rsidRPr="00000000">
        <w:rPr>
          <w:b w:val="1"/>
          <w:sz w:val="20"/>
          <w:szCs w:val="20"/>
          <w:rtl w:val="0"/>
        </w:rPr>
        <w:t xml:space="preserve">execução de um plano intersetorial</w:t>
      </w:r>
      <w:r w:rsidDel="00000000" w:rsidR="00000000" w:rsidRPr="00000000">
        <w:rPr>
          <w:sz w:val="20"/>
          <w:szCs w:val="20"/>
          <w:rtl w:val="0"/>
        </w:rPr>
        <w:t xml:space="preserve"> orientado por evidências, maximizando impacto com </w:t>
      </w:r>
      <w:r w:rsidDel="00000000" w:rsidR="00000000" w:rsidRPr="00000000">
        <w:rPr>
          <w:b w:val="1"/>
          <w:sz w:val="20"/>
          <w:szCs w:val="20"/>
          <w:rtl w:val="0"/>
        </w:rPr>
        <w:t xml:space="preserve">priorização territorial</w:t>
      </w:r>
      <w:r w:rsidDel="00000000" w:rsidR="00000000" w:rsidRPr="00000000">
        <w:rPr>
          <w:sz w:val="20"/>
          <w:szCs w:val="20"/>
          <w:rtl w:val="0"/>
        </w:rPr>
        <w:t xml:space="preserve">, e assegurando que </w:t>
      </w:r>
      <w:r w:rsidDel="00000000" w:rsidR="00000000" w:rsidRPr="00000000">
        <w:rPr>
          <w:b w:val="1"/>
          <w:sz w:val="20"/>
          <w:szCs w:val="20"/>
          <w:rtl w:val="0"/>
        </w:rPr>
        <w:t xml:space="preserve">ninguém fique para trás</w:t>
      </w:r>
      <w:r w:rsidDel="00000000" w:rsidR="00000000" w:rsidRPr="00000000">
        <w:rPr>
          <w:sz w:val="20"/>
          <w:szCs w:val="20"/>
          <w:rtl w:val="0"/>
        </w:rPr>
        <w:t xml:space="preserve"> — princípio estruturante da inclusão e dos ODS (3, 4, 8, 10, 11, 16).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D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200" w:line="360" w:lineRule="auto"/>
        <w:jc w:val="center"/>
        <w:rPr>
          <w:b w:val="1"/>
          <w:sz w:val="24"/>
          <w:szCs w:val="24"/>
        </w:rPr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EF">
      <w:pPr>
        <w:widowControl w:val="0"/>
        <w:spacing w:after="200" w:line="360" w:lineRule="auto"/>
        <w:jc w:val="center"/>
        <w:rPr>
          <w:b w:val="1"/>
          <w:sz w:val="24"/>
          <w:szCs w:val="24"/>
        </w:rPr>
      </w:pPr>
      <w:bookmarkStart w:colFirst="0" w:colLast="0" w:name="_ijv8euqtcryc" w:id="4"/>
      <w:bookmarkEnd w:id="4"/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