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EMENDA Nº. 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ADITIVA</w:t>
      </w:r>
      <w:r w:rsidDel="00000000" w:rsidR="00000000" w:rsidRPr="00000000">
        <w:rPr>
          <w:sz w:val="20"/>
          <w:szCs w:val="20"/>
          <w:rtl w:val="0"/>
        </w:rPr>
        <w:t xml:space="preserve"> AO PROJETO DE LEI Nº. 00361/2025</w:t>
      </w:r>
    </w:p>
    <w:p w:rsidR="00000000" w:rsidDel="00000000" w:rsidP="00000000" w:rsidRDefault="00000000" w:rsidRPr="00000000" w14:paraId="00000002">
      <w:pPr>
        <w:widowControl w:val="0"/>
        <w:spacing w:after="160" w:line="276" w:lineRule="auto"/>
        <w:ind w:left="8556" w:firstLine="0"/>
        <w:jc w:val="both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b w:val="1"/>
          <w:sz w:val="20"/>
          <w:szCs w:val="20"/>
          <w:rtl w:val="0"/>
        </w:rPr>
        <w:t xml:space="preserve"> o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Produto Programa de Pavimentação drenante implantado</w:t>
      </w:r>
      <w:r w:rsidDel="00000000" w:rsidR="00000000" w:rsidRPr="00000000">
        <w:rPr>
          <w:b w:val="1"/>
          <w:sz w:val="20"/>
          <w:szCs w:val="20"/>
          <w:rtl w:val="0"/>
        </w:rPr>
        <w:t xml:space="preserve"> no anexo I – Estrutura Consolidada do Plano Plurianual 2026-2029 para o quadriênio 2026/2029, no Programa 0010 | Cidade Urbanizada , do Projeto de Lei 00361/2025.</w:t>
      </w:r>
    </w:p>
    <w:p w:rsidR="00000000" w:rsidDel="00000000" w:rsidP="00000000" w:rsidRDefault="00000000" w:rsidRPr="00000000" w14:paraId="00000003">
      <w:pPr>
        <w:widowControl w:val="0"/>
        <w:spacing w:after="160" w:line="240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Art.1º -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sz w:val="20"/>
          <w:szCs w:val="20"/>
          <w:rtl w:val="0"/>
        </w:rPr>
        <w:t xml:space="preserve"> no anexo I – Estrutura Consolidada do Plano Plurianual 2026-2029 para o quadriênio 2026/2029, no programa</w:t>
      </w:r>
      <w:r w:rsidDel="00000000" w:rsidR="00000000" w:rsidRPr="00000000">
        <w:rPr>
          <w:sz w:val="20"/>
          <w:szCs w:val="20"/>
          <w:rtl w:val="0"/>
        </w:rPr>
        <w:t xml:space="preserve"> 0010 | Cidade Urbanizada,</w:t>
      </w:r>
      <w:r w:rsidDel="00000000" w:rsidR="00000000" w:rsidRPr="00000000">
        <w:rPr>
          <w:sz w:val="20"/>
          <w:szCs w:val="20"/>
          <w:rtl w:val="0"/>
        </w:rPr>
        <w:t xml:space="preserve"> do Projeto de Lei 000361/2025, conforme tabela abaixo: </w:t>
      </w:r>
    </w:p>
    <w:tbl>
      <w:tblPr>
        <w:tblStyle w:val="Table1"/>
        <w:tblW w:w="1419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945"/>
        <w:gridCol w:w="810"/>
        <w:gridCol w:w="1125"/>
        <w:gridCol w:w="105"/>
        <w:gridCol w:w="870"/>
        <w:gridCol w:w="945"/>
        <w:gridCol w:w="345"/>
        <w:gridCol w:w="1245"/>
        <w:gridCol w:w="960"/>
        <w:gridCol w:w="840"/>
        <w:gridCol w:w="480"/>
        <w:gridCol w:w="1380"/>
        <w:gridCol w:w="915"/>
        <w:gridCol w:w="855"/>
        <w:gridCol w:w="930"/>
        <w:gridCol w:w="1440"/>
        <w:tblGridChange w:id="0">
          <w:tblGrid>
            <w:gridCol w:w="945"/>
            <w:gridCol w:w="810"/>
            <w:gridCol w:w="1125"/>
            <w:gridCol w:w="105"/>
            <w:gridCol w:w="870"/>
            <w:gridCol w:w="945"/>
            <w:gridCol w:w="345"/>
            <w:gridCol w:w="1245"/>
            <w:gridCol w:w="960"/>
            <w:gridCol w:w="840"/>
            <w:gridCol w:w="480"/>
            <w:gridCol w:w="1380"/>
            <w:gridCol w:w="915"/>
            <w:gridCol w:w="855"/>
            <w:gridCol w:w="930"/>
            <w:gridCol w:w="1440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line="279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0010 | Cidade Urbanizada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widowControl w:val="0"/>
              <w:spacing w:after="160" w:line="276" w:lineRule="auto"/>
              <w:ind w:left="0" w:firstLine="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Programa de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Pavimentação drenante implantado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240" w:before="0"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mplantação ou adaptação de 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calçadas e pistas de rolamento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com 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materiais drenantes ecológicos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(ex.: piso intertravado permeável, concreto poroso, asfalto drenante ou equivalentes tecnicamente validados), incluindo base e sub-base adequadas, dispositivos auxiliares de infiltração/armazenamento (quando cabível), sinalização, acessibilidade e 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plano de manutenção periódica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para garantir o desempenho hidráulico. A execução observará normas técnicas de acessibilidade e de drenagem urbana sustentável, bem como diretrizes de segurança viária.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SECONSER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line="27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R$20.000,00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R$20.000,00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Praias da Baía</w:t>
            </w:r>
          </w:p>
        </w:tc>
      </w:tr>
    </w:tbl>
    <w:p w:rsidR="00000000" w:rsidDel="00000000" w:rsidP="00000000" w:rsidRDefault="00000000" w:rsidRPr="00000000" w14:paraId="000000D4">
      <w:pPr>
        <w:spacing w:after="160" w:line="240" w:lineRule="auto"/>
        <w:rPr>
          <w:i w:val="1"/>
          <w:sz w:val="20"/>
          <w:szCs w:val="20"/>
        </w:rPr>
      </w:pPr>
      <w:bookmarkStart w:colFirst="0" w:colLast="0" w:name="_xv0fwlbraoc7" w:id="0"/>
      <w:bookmarkEnd w:id="0"/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5">
      <w:pPr>
        <w:spacing w:after="160" w:line="240" w:lineRule="auto"/>
        <w:rPr>
          <w:i w:val="1"/>
          <w:sz w:val="20"/>
          <w:szCs w:val="20"/>
        </w:rPr>
      </w:pPr>
      <w:bookmarkStart w:colFirst="0" w:colLast="0" w:name="_ozpjljx0w12q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6">
      <w:pPr>
        <w:spacing w:after="160" w:line="240" w:lineRule="auto"/>
        <w:rPr>
          <w:i w:val="1"/>
          <w:sz w:val="20"/>
          <w:szCs w:val="20"/>
        </w:rPr>
      </w:pPr>
      <w:bookmarkStart w:colFirst="0" w:colLast="0" w:name="_ar8xadtecc42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7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sz w:val="20"/>
          <w:szCs w:val="20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widowControl w:val="0"/>
              <w:spacing w:line="279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0010 | Cidade Urbanizada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R$ 80.000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spacing w:line="240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widowControl w:val="0"/>
              <w:spacing w:line="279" w:lineRule="auto"/>
              <w:jc w:val="center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0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widowControl w:val="0"/>
        <w:spacing w:after="160" w:line="279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JUSTIFICATIVA: </w:t>
      </w:r>
    </w:p>
    <w:p w:rsidR="00000000" w:rsidDel="00000000" w:rsidP="00000000" w:rsidRDefault="00000000" w:rsidRPr="00000000" w14:paraId="000000E2">
      <w:pPr>
        <w:widowControl w:val="0"/>
        <w:spacing w:after="240" w:before="240" w:line="240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 presente emenda operacionaliza a deliberação da II Conferência Municipal de Meio Ambiente de Niterói (jan/2025), convocada pela sociedade civil, e o encaminhamento pactuado na audiência pública de 25/10/2025, que determinaram a absorção das demandas por adaptação climática com foco em drenagem urbana e conforto térmico. Niterói convive com eventos de chuva intensa que sobrecarregam a rede de drenagem e geram alagamentos recorrentes; simultaneamente, a impermeabilização e materiais escuros/compactos intensificam ilhas de calor urbano, afetando saúde, mobilidade e qualidade de vida.</w:t>
      </w:r>
    </w:p>
    <w:p w:rsidR="00000000" w:rsidDel="00000000" w:rsidP="00000000" w:rsidRDefault="00000000" w:rsidRPr="00000000" w14:paraId="000000E3">
      <w:pPr>
        <w:widowControl w:val="0"/>
        <w:spacing w:after="240" w:before="240" w:line="240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 substituição gradual (5%/ano) de revestimentos tradicionais por pavimentos drenantes ecológicos é uma medida de alto impacto e baixíssimo arrependimento, pois:</w:t>
      </w:r>
    </w:p>
    <w:p w:rsidR="00000000" w:rsidDel="00000000" w:rsidP="00000000" w:rsidRDefault="00000000" w:rsidRPr="00000000" w14:paraId="000000E4">
      <w:pPr>
        <w:widowControl w:val="0"/>
        <w:numPr>
          <w:ilvl w:val="0"/>
          <w:numId w:val="1"/>
        </w:numPr>
        <w:spacing w:after="0" w:afterAutospacing="0" w:before="240" w:line="24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Reduz o escoamento superficial e a lâmina d’água, mitigando alagamentos e aliviando a macrodrenagem;</w:t>
      </w:r>
    </w:p>
    <w:p w:rsidR="00000000" w:rsidDel="00000000" w:rsidP="00000000" w:rsidRDefault="00000000" w:rsidRPr="00000000" w14:paraId="000000E5">
      <w:pPr>
        <w:widowControl w:val="0"/>
        <w:numPr>
          <w:ilvl w:val="0"/>
          <w:numId w:val="1"/>
        </w:numPr>
        <w:spacing w:after="0" w:afterAutospacing="0" w:before="0" w:beforeAutospacing="0" w:line="24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Aumenta a infiltração e a recarga de aquíferos rasos, reforçando a resiliência hídrica;</w:t>
      </w:r>
    </w:p>
    <w:p w:rsidR="00000000" w:rsidDel="00000000" w:rsidP="00000000" w:rsidRDefault="00000000" w:rsidRPr="00000000" w14:paraId="000000E6">
      <w:pPr>
        <w:widowControl w:val="0"/>
        <w:numPr>
          <w:ilvl w:val="0"/>
          <w:numId w:val="1"/>
        </w:numPr>
        <w:spacing w:after="0" w:afterAutospacing="0" w:before="0" w:beforeAutospacing="0" w:line="24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Diminui a temperatura de superfície, mitigando ilhas de calor e ampliando o conforto térmico de pedestres e ciclistas;</w:t>
      </w:r>
    </w:p>
    <w:p w:rsidR="00000000" w:rsidDel="00000000" w:rsidP="00000000" w:rsidRDefault="00000000" w:rsidRPr="00000000" w14:paraId="000000E7">
      <w:pPr>
        <w:widowControl w:val="0"/>
        <w:numPr>
          <w:ilvl w:val="0"/>
          <w:numId w:val="1"/>
        </w:numPr>
        <w:spacing w:after="0" w:afterAutospacing="0" w:before="0" w:beforeAutospacing="0" w:line="24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Melhora a segurança viária (menos spray/aquaplanagem) e a acessibilidade quando executada segundo normas técnicas;</w:t>
      </w:r>
    </w:p>
    <w:p w:rsidR="00000000" w:rsidDel="00000000" w:rsidP="00000000" w:rsidRDefault="00000000" w:rsidRPr="00000000" w14:paraId="000000E8">
      <w:pPr>
        <w:widowControl w:val="0"/>
        <w:numPr>
          <w:ilvl w:val="0"/>
          <w:numId w:val="1"/>
        </w:numPr>
        <w:spacing w:after="240" w:before="0" w:beforeAutospacing="0" w:line="24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Distribui soluções no território (SUDS/LID), reduzindo a dependência exclusiva de obras pesadas e de alto custo.</w:t>
        <w:br w:type="textWrapping"/>
      </w:r>
    </w:p>
    <w:p w:rsidR="00000000" w:rsidDel="00000000" w:rsidP="00000000" w:rsidRDefault="00000000" w:rsidRPr="00000000" w14:paraId="000000E9">
      <w:pPr>
        <w:widowControl w:val="0"/>
        <w:spacing w:after="240" w:before="240" w:line="279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 meta progressiva permite planejamento plurianual, ganho de escala e aprendizado incremental por meio de projetos-piloto e avaliações pós-obra, com priorização de áreas vulneráveis (alagamentos e hotspots térmicos), alinhando equidade socioambiental e eficiência do gasto. A ação contribui diretamente para os ODS 6 (Água e Saneamento), 11 (Cidades Sustentáveis) e 13 (Ação Climática), integrando infraestrutura e soluções baseadas na natureza ao cotidiano urbano.</w:t>
      </w:r>
    </w:p>
    <w:p w:rsidR="00000000" w:rsidDel="00000000" w:rsidP="00000000" w:rsidRDefault="00000000" w:rsidRPr="00000000" w14:paraId="000000EA">
      <w:pPr>
        <w:widowControl w:val="0"/>
        <w:spacing w:after="240" w:before="240" w:line="279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Ao incorporar esta ação ao PPA, o Município estrutura metas, indicadores e orçamento para transformar uma resolução participativa em política pública permanente, com governança intersetorial e controle social, garantindo transparência e resultados mensuráveis na redução de alagamentos e das ilhas de calor em Niterói.</w:t>
      </w:r>
    </w:p>
    <w:p w:rsidR="00000000" w:rsidDel="00000000" w:rsidP="00000000" w:rsidRDefault="00000000" w:rsidRPr="00000000" w14:paraId="000000EB">
      <w:pPr>
        <w:widowControl w:val="0"/>
        <w:spacing w:after="160" w:line="279" w:lineRule="auto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widowControl w:val="0"/>
        <w:spacing w:line="279" w:lineRule="auto"/>
        <w:ind w:left="567" w:firstLine="0"/>
        <w:jc w:val="righ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Sala das Sessões, 13 de outubro de 2025.</w:t>
      </w:r>
    </w:p>
    <w:p w:rsidR="00000000" w:rsidDel="00000000" w:rsidP="00000000" w:rsidRDefault="00000000" w:rsidRPr="00000000" w14:paraId="000000ED">
      <w:pPr>
        <w:widowControl w:val="0"/>
        <w:spacing w:after="20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widowControl w:val="0"/>
        <w:spacing w:after="200" w:line="360" w:lineRule="auto"/>
        <w:jc w:val="center"/>
        <w:rPr/>
      </w:pPr>
      <w:bookmarkStart w:colFirst="0" w:colLast="0" w:name="_9z71yzwxu6yq" w:id="3"/>
      <w:bookmarkEnd w:id="3"/>
      <w:r w:rsidDel="00000000" w:rsidR="00000000" w:rsidRPr="00000000">
        <w:rPr>
          <w:b w:val="1"/>
          <w:sz w:val="24"/>
          <w:szCs w:val="24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6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F">
    <w:pPr>
      <w:tabs>
        <w:tab w:val="center" w:leader="none" w:pos="4680"/>
        <w:tab w:val="right" w:leader="none" w:pos="9360"/>
      </w:tabs>
      <w:spacing w:line="240" w:lineRule="auto"/>
      <w:rPr>
        <w:b w:val="1"/>
        <w:sz w:val="44"/>
        <w:szCs w:val="44"/>
      </w:rPr>
    </w:pPr>
    <w:r w:rsidDel="00000000" w:rsidR="00000000" w:rsidRPr="00000000">
      <w:rPr>
        <w:rFonts w:ascii="Aptos" w:cs="Aptos" w:eastAsia="Aptos" w:hAnsi="Aptos"/>
        <w:sz w:val="24"/>
        <w:szCs w:val="24"/>
        <w:rtl w:val="0"/>
      </w:rPr>
      <w:t xml:space="preserve">                                                             </w:t>
    </w:r>
    <w:r w:rsidDel="00000000" w:rsidR="00000000" w:rsidRPr="00000000">
      <w:rPr>
        <w:b w:val="1"/>
        <w:sz w:val="44"/>
        <w:szCs w:val="44"/>
        <w:rtl w:val="0"/>
      </w:rPr>
      <w:t xml:space="preserve">Câmara Municipal de Niterói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1600200</wp:posOffset>
          </wp:positionH>
          <wp:positionV relativeFrom="paragraph">
            <wp:posOffset>-85724</wp:posOffset>
          </wp:positionV>
          <wp:extent cx="828675" cy="1018580"/>
          <wp:effectExtent b="0" l="0" r="0" t="0"/>
          <wp:wrapNone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28675" cy="10185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F0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8"/>
        <w:szCs w:val="28"/>
      </w:rPr>
    </w:pPr>
    <w:r w:rsidDel="00000000" w:rsidR="00000000" w:rsidRPr="00000000">
      <w:rPr>
        <w:b w:val="1"/>
        <w:sz w:val="28"/>
        <w:szCs w:val="28"/>
        <w:rtl w:val="0"/>
      </w:rPr>
      <w:t xml:space="preserve">Gabinete do Vereador Professor Tulio</w:t>
    </w:r>
  </w:p>
  <w:p w:rsidR="00000000" w:rsidDel="00000000" w:rsidP="00000000" w:rsidRDefault="00000000" w:rsidRPr="00000000" w14:paraId="000000F1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Partido Socialismo e Liberdade (PSOL)</w:t>
    </w:r>
  </w:p>
  <w:p w:rsidR="00000000" w:rsidDel="00000000" w:rsidP="00000000" w:rsidRDefault="00000000" w:rsidRPr="00000000" w14:paraId="000000F2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3">
    <w:pPr>
      <w:tabs>
        <w:tab w:val="center" w:leader="none" w:pos="4680"/>
        <w:tab w:val="right" w:leader="none" w:pos="9360"/>
      </w:tabs>
      <w:spacing w:line="240" w:lineRule="auto"/>
      <w:rPr>
        <w:rFonts w:ascii="Aptos" w:cs="Aptos" w:eastAsia="Aptos" w:hAnsi="Aptos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