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174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Fundo para ações de adaptação e prevenção de desastres climáticos implementado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0132 | Resiliência a Desastres e Adaptação às Mudanças Climáticas,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0132 | Resiliência a Desastres e Adaptação às Mudanças Climáticas, do Projeto de Lei 000361/2025, conforme tabela abaixo: </w:t>
      </w:r>
    </w:p>
    <w:tbl>
      <w:tblPr>
        <w:tblStyle w:val="Table1"/>
        <w:tblW w:w="14490.0" w:type="dxa"/>
        <w:jc w:val="left"/>
        <w:tblInd w:w="-3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20"/>
        <w:gridCol w:w="870"/>
        <w:gridCol w:w="129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245"/>
        <w:gridCol w:w="1125"/>
        <w:tblGridChange w:id="0">
          <w:tblGrid>
            <w:gridCol w:w="1020"/>
            <w:gridCol w:w="870"/>
            <w:gridCol w:w="129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245"/>
            <w:gridCol w:w="11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0132 | Resiliência a Desastres e Adaptação às Mudanças Climáticas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Fundo para ações de adaptação e prevenção de desastres climáticos implementado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Criação e operação de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fundo municipal especial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de natureza contábil e financeira, destinado a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planejar, financiar e cofinanciar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medidas de adaptação climática e prevenção de desastres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DO CLIMA, DEFESA CIVIL E RESIL.- SMCDCR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0132 | Resiliência a Desastres e Adaptação às Mudanças Climáticas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Instituir um fundo dedicado e com fonte estável vinculada a 10% do Fundo de Equalização dos Royalties é condição para transformar as deliberações da sociedade civil, aprovadas na II Conferência Municipal de Meio Ambiente (jan/2025), em resultados contínuos e mensuráveis. Eventos de chuva extrema, ondas de calor e movimentos de massa exigem previsibilidade orçamentária, governança qualificada e prioridade para territórios mais vulneráveis; cada real investido em prevenção e adaptação poupa múltiplos em perdas humanas, danos patrimoniais e interrupções de serviços essenciais. O fundo dá capilaridade às ações (da obra estrutural ao alerta comunitário), acelera soluções de baixo carbono e baseadas na natureza, promove a equidade socioespacial ao direcionar recursos onde o risco é maior, e reforça a capacidade institucional da Defesa Civil e das secretarias setoriais. Com governança paritária, critérios técnicos transparentes e integração aos planos municipais, o mecanismo reduz a descontinuidade entre gestões, melhora a qualidade do gasto, e aumenta a confiança pública por meio de dados abertos e metas claras de resiliência—garantindo que a riqueza temporária dos royalties se converta em segurança, saúde e qualidade de vida duradouras para a população de Niterói.</w:t>
      </w:r>
    </w:p>
    <w:p w:rsidR="00000000" w:rsidDel="00000000" w:rsidP="00000000" w:rsidRDefault="00000000" w:rsidRPr="00000000" w14:paraId="000000E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1362075</wp:posOffset>
          </wp:positionH>
          <wp:positionV relativeFrom="paragraph">
            <wp:posOffset>-333374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tabs>
        <w:tab w:val="center" w:leader="none" w:pos="4252"/>
        <w:tab w:val="right" w:leader="none" w:pos="8504"/>
      </w:tabs>
      <w:spacing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6">
    <w:pPr>
      <w:tabs>
        <w:tab w:val="center" w:leader="none" w:pos="4252"/>
        <w:tab w:val="right" w:leader="none" w:pos="8504"/>
      </w:tabs>
      <w:spacing w:line="240" w:lineRule="auto"/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Frente Parlamentar em Defesa da Economia Popular e Solidária, </w:t>
    </w:r>
  </w:p>
  <w:p w:rsidR="00000000" w:rsidDel="00000000" w:rsidP="00000000" w:rsidRDefault="00000000" w:rsidRPr="00000000" w14:paraId="000000E7">
    <w:pPr>
      <w:tabs>
        <w:tab w:val="center" w:leader="none" w:pos="4252"/>
        <w:tab w:val="right" w:leader="none" w:pos="8504"/>
      </w:tabs>
      <w:spacing w:line="240" w:lineRule="auto"/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Agroecologia e Produção Orgânica no município de Niterói</w:t>
    </w:r>
  </w:p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