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2">
      <w:pPr>
        <w:widowControl w:val="0"/>
        <w:spacing w:after="160" w:line="276" w:lineRule="auto"/>
        <w:ind w:left="8556" w:firstLine="0"/>
        <w:jc w:val="both"/>
        <w:rPr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160" w:line="276" w:lineRule="auto"/>
        <w:ind w:left="8556" w:firstLine="0"/>
        <w:jc w:val="both"/>
        <w:rPr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“</w:t>
      </w:r>
      <w:r w:rsidDel="00000000" w:rsidR="00000000" w:rsidRPr="00000000">
        <w:rPr>
          <w:sz w:val="24"/>
          <w:szCs w:val="24"/>
          <w:rtl w:val="0"/>
        </w:rPr>
        <w:t xml:space="preserve">Elaboração de planos municipais previstos no Plano Diretor (2019)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sz w:val="20"/>
          <w:szCs w:val="20"/>
          <w:rtl w:val="0"/>
        </w:rPr>
        <w:t xml:space="preserve">0010 | Cidade Urbanizada</w:t>
      </w:r>
      <w:r w:rsidDel="00000000" w:rsidR="00000000" w:rsidRPr="00000000">
        <w:rPr>
          <w:b w:val="1"/>
          <w:sz w:val="20"/>
          <w:szCs w:val="20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spacing w:after="160" w:line="240" w:lineRule="auto"/>
        <w:jc w:val="both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spacing w:after="160" w:line="240" w:lineRule="auto"/>
        <w:jc w:val="both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sz w:val="20"/>
          <w:szCs w:val="20"/>
          <w:rtl w:val="0"/>
        </w:rPr>
        <w:t xml:space="preserve">0010 | Cidade Urbanizada,</w:t>
      </w:r>
      <w:r w:rsidDel="00000000" w:rsidR="00000000" w:rsidRPr="00000000">
        <w:rPr>
          <w:sz w:val="20"/>
          <w:szCs w:val="20"/>
          <w:rtl w:val="0"/>
        </w:rPr>
        <w:t xml:space="preserve"> do Projeto de Lei 000361/2025, conforme tabela abaixo: </w:t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810"/>
        <w:gridCol w:w="900"/>
        <w:gridCol w:w="330"/>
        <w:gridCol w:w="870"/>
        <w:gridCol w:w="945"/>
        <w:gridCol w:w="345"/>
        <w:gridCol w:w="1245"/>
        <w:gridCol w:w="960"/>
        <w:gridCol w:w="840"/>
        <w:gridCol w:w="480"/>
        <w:gridCol w:w="1380"/>
        <w:gridCol w:w="915"/>
        <w:gridCol w:w="855"/>
        <w:gridCol w:w="930"/>
        <w:gridCol w:w="1440"/>
        <w:tblGridChange w:id="0">
          <w:tblGrid>
            <w:gridCol w:w="945"/>
            <w:gridCol w:w="810"/>
            <w:gridCol w:w="900"/>
            <w:gridCol w:w="330"/>
            <w:gridCol w:w="870"/>
            <w:gridCol w:w="945"/>
            <w:gridCol w:w="345"/>
            <w:gridCol w:w="1245"/>
            <w:gridCol w:w="960"/>
            <w:gridCol w:w="840"/>
            <w:gridCol w:w="480"/>
            <w:gridCol w:w="1380"/>
            <w:gridCol w:w="915"/>
            <w:gridCol w:w="855"/>
            <w:gridCol w:w="930"/>
            <w:gridCol w:w="14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C">
            <w:pPr>
              <w:widowControl w:val="0"/>
              <w:spacing w:line="279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0010 | Cidade Urbanizada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Elaboração de planos municipais previstos no Plano Diretor (2019)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8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C">
            <w:pPr>
              <w:spacing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Elaboração, atualização e consolidação dos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planos setoriais previstos no Plano Diretor de Niterói (2019)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, com base técnica, participação social qualificada e integração orçamentária, garantindo compatibilidade entre instrumentos urbanísticos, ambientais e de defesa civil. O produto abrange:o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Plano Municipal de Gerenciamento Costeiro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,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Plano Municipal da Mata Atlântica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,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Plano Municipal de Resiliência Frente às Mudanças do Clima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,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Plano Municipal de Saneamento Ambiental Integrado ao Plano Municipal de Habitação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,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Plano Municipal de Gerenciamento de Resíduos Sólidos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,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Plano Municipal de Serviço Funerário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,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Plano Municipal de Conservação e Recuperação de Áreas Prestadoras de Serviços Ambientais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,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Plano Municipal de Arborização Urbana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,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Planos de Manejo e Conselhos Consultivos das Unidades de Conservação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(proteção integral e uso sustentável),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Plano Municipal de Mobilidade Urbana Sustentável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,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Plano Municipal de Regularização Fundiária Sustentável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,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Plano Municipal de Habitação de Interesse Social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e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Plano Municipal de Redução de Riscos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, sendo todos preparados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para submissão como Projetos de Lei à Câmara Municipal de Niterói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para sua aprovação.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spacing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Entregas principais: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diagnósticos e mapas temáticos (SIG), metas e indicadores, cenários e carteiras de projetos, matriz de responsabilidades, estimativa de custos e fontes, diretrizes de governança e monitoramento, minutas normativas (quando couber), documentação participativa e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versões finais aptas à adoção legal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SECRETARIA EXECUTIVA DO PREFEITO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spacing w:line="279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R$ 1.000.000,00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R$ 1.000.000,00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R$ 1.000.000,00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R$ 800.000,00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9">
      <w:pPr>
        <w:spacing w:after="160" w:line="240" w:lineRule="auto"/>
        <w:rPr>
          <w:i w:val="1"/>
          <w:sz w:val="20"/>
          <w:szCs w:val="20"/>
        </w:rPr>
      </w:pPr>
      <w:bookmarkStart w:colFirst="0" w:colLast="0" w:name="_xv0fwlbraoc7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A">
      <w:pPr>
        <w:spacing w:after="160" w:line="240" w:lineRule="auto"/>
        <w:rPr>
          <w:i w:val="1"/>
          <w:sz w:val="20"/>
          <w:szCs w:val="20"/>
        </w:rPr>
      </w:pPr>
      <w:bookmarkStart w:colFirst="0" w:colLast="0" w:name="_8xw6xgewwdav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spacing w:after="160" w:line="240" w:lineRule="auto"/>
        <w:rPr>
          <w:i w:val="1"/>
          <w:sz w:val="20"/>
          <w:szCs w:val="20"/>
        </w:rPr>
      </w:pPr>
      <w:bookmarkStart w:colFirst="0" w:colLast="0" w:name="_2xu9hz7oo9iu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spacing w:line="279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0010 | Cidade Urbanizada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R$ 3.800.000,00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4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5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after="160" w:line="279" w:lineRule="auto"/>
        <w:jc w:val="both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7">
      <w:pPr>
        <w:widowControl w:val="0"/>
        <w:spacing w:after="160" w:line="279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consolidação desses planos é condição para transformar o Plano Diretor (2019) em execução coordenada, evitando sobreposições e lacunas entre políticas urbanas, ambientais, habitacionais e de resiliência. Trata-se de atender às resoluções da II Conferência Municipal de Meio Ambiente de Niterói, realizada em janeiro de 2025 e organizada pela sociedade civil, assegurando que as prioridades pactuadas com a população se traduzam em metas, orçamento e regras claras de implementação. Todos os planos devem ser preparados para submissão como Projetos de Lei à Câmara Municipal de Niterói reforça a segurança jurídica e a continuidade das ações. Com base técnica, participação social, dados abertos e monitoramento por indicadores, o conjunto de planos melhora a qualidade do gasto, orienta decisões por evidências e vulnerabilidade socioambiental e fortalece a capacidade institucional para entregar resultados concretos e duradouros para Niteró</w:t>
      </w:r>
      <w:r w:rsidDel="00000000" w:rsidR="00000000" w:rsidRPr="00000000">
        <w:rPr>
          <w:sz w:val="20"/>
          <w:szCs w:val="20"/>
          <w:rtl w:val="0"/>
        </w:rPr>
        <w:t xml:space="preserve">i. Al</w:t>
      </w:r>
      <w:r w:rsidDel="00000000" w:rsidR="00000000" w:rsidRPr="00000000">
        <w:rPr>
          <w:sz w:val="20"/>
          <w:szCs w:val="20"/>
          <w:rtl w:val="0"/>
        </w:rPr>
        <w:t xml:space="preserve">ém de evitar sobreposições contraditórias entre as políticas públicas encaminhadas por cada secretaria.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E9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widowControl w:val="0"/>
        <w:spacing w:after="200" w:line="360" w:lineRule="auto"/>
        <w:jc w:val="center"/>
        <w:rPr/>
      </w:pPr>
      <w:bookmarkStart w:colFirst="0" w:colLast="0" w:name="_9z71yzwxu6yq" w:id="3"/>
      <w:bookmarkEnd w:id="3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B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EC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ED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EE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F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