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86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Plano Municipal de Acessibilidade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840"/>
        <w:gridCol w:w="1320"/>
        <w:gridCol w:w="16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840"/>
            <w:gridCol w:w="1320"/>
            <w:gridCol w:w="16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Municipal de Acessibilidade</w:t>
            </w:r>
          </w:p>
        </w:tc>
      </w:tr>
      <w:tr>
        <w:trPr>
          <w:cantSplit w:val="0"/>
          <w:trHeight w:val="1051.42089843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hd w:fill="ffffff" w:val="clear"/>
              <w:spacing w:after="0" w:before="0" w:line="360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0a0a0a"/>
                <w:sz w:val="18"/>
                <w:szCs w:val="18"/>
                <w:rtl w:val="0"/>
              </w:rPr>
              <w:t xml:space="preserve">Elaborar o Plano Municipal de Acessibilidade para Pessoas com Deficiência como instrumento de gestão do poder executivo municipal para definir metas e ações que visam garantir a inclusão, autonomia e igualdade de oportunidades para pessoas com deficiência e mobilidade reduzida.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shd w:fill="ffffff" w:val="clear"/>
        <w:spacing w:after="240" w:before="240" w:line="360" w:lineRule="auto"/>
        <w:jc w:val="both"/>
        <w:rPr>
          <w:highlight w:val="white"/>
        </w:rPr>
      </w:pPr>
      <w:r w:rsidDel="00000000" w:rsidR="00000000" w:rsidRPr="00000000">
        <w:rPr>
          <w:color w:val="0a0a0a"/>
          <w:rtl w:val="0"/>
        </w:rPr>
        <w:t xml:space="preserve">A elaboração do Plano Municipal de Acessibilidade é instrumento necessário para cumprir determinações legais, promover a inclusão social e igualdade de oportunidades. A elaboração de um plano formal dá segurança jurídica à gestão municipal, orientando a aplicação de recursos e a implementação de ações. O plano prevê ações como a fiscalização das normas de acessibilidade. Permite ao município atender às exigências da LBI (Lei nº 13.146/2015), que tem como base a Convenção da ONU sobre os Direitos das Pessoas com Deficiência e visa assegurar e promover, em condições de igualdade, o exercício dos direitos e liberdades fundamentais.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-85720</wp:posOffset>
          </wp:positionV>
          <wp:extent cx="828675" cy="1018580"/>
          <wp:effectExtent b="0" l="0" r="0" t="0"/>
          <wp:wrapNone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izSYlwEWx+jTa6D1lYw1kSw7JA==">CgMxLjAyDmguNmpidjdrdnkzZ3JlMg5oLjlvamhnc2gyMTUzeDgAciExdWdvSWNEMnEyZ01TMDlzMFpsUFJhRDdrSld5NDRMMWo=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