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82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Produção de Material Gráfico sobre Acessibilidade e Inclusão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870"/>
        <w:gridCol w:w="1260"/>
        <w:gridCol w:w="195"/>
        <w:gridCol w:w="870"/>
        <w:gridCol w:w="945"/>
        <w:gridCol w:w="345"/>
        <w:gridCol w:w="1245"/>
        <w:gridCol w:w="960"/>
        <w:gridCol w:w="840"/>
        <w:gridCol w:w="150"/>
        <w:gridCol w:w="1575"/>
        <w:gridCol w:w="855"/>
        <w:gridCol w:w="825"/>
        <w:gridCol w:w="1350"/>
        <w:gridCol w:w="1245"/>
        <w:tblGridChange w:id="0">
          <w:tblGrid>
            <w:gridCol w:w="915"/>
            <w:gridCol w:w="870"/>
            <w:gridCol w:w="1260"/>
            <w:gridCol w:w="195"/>
            <w:gridCol w:w="870"/>
            <w:gridCol w:w="945"/>
            <w:gridCol w:w="345"/>
            <w:gridCol w:w="1245"/>
            <w:gridCol w:w="960"/>
            <w:gridCol w:w="840"/>
            <w:gridCol w:w="150"/>
            <w:gridCol w:w="1575"/>
            <w:gridCol w:w="855"/>
            <w:gridCol w:w="825"/>
            <w:gridCol w:w="1350"/>
            <w:gridCol w:w="124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Produção de Material Gráfico sobre Acessibilidade e Inclusão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Produção de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 cartazes e cartilhas informativas para fomentar campanhas que promovem a inclusão e combatem o preconceito contra pessoas com deficiência. Também materiais como manuais a serem distribuídos em eventos,  instituições e coletivos.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9hc25zetv60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R$ 110.000,00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4">
      <w:pPr>
        <w:spacing w:line="276" w:lineRule="auto"/>
        <w:jc w:val="both"/>
        <w:rPr>
          <w:color w:val="0a0a0a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As campanhas impressas são importantes para complementar a comunicação digital e alcançar um público mais amplo e diversificado</w:t>
      </w:r>
      <w:r w:rsidDel="00000000" w:rsidR="00000000" w:rsidRPr="00000000">
        <w:rPr>
          <w:color w:val="0a0a0a"/>
          <w:sz w:val="20"/>
          <w:szCs w:val="20"/>
          <w:highlight w:val="white"/>
          <w:rtl w:val="0"/>
        </w:rPr>
        <w:t xml:space="preserve">. Elas oferecem tangibilidade, reforçam a mensagem de forma duradoura e chegam a lugares onde a presença digital pode ser limitada</w:t>
      </w:r>
    </w:p>
    <w:p w:rsidR="00000000" w:rsidDel="00000000" w:rsidP="00000000" w:rsidRDefault="00000000" w:rsidRPr="00000000" w14:paraId="000000E5">
      <w:pPr>
        <w:spacing w:line="276" w:lineRule="auto"/>
        <w:jc w:val="both"/>
        <w:rPr>
          <w:color w:val="0a0a0a"/>
          <w:highlight w:val="white"/>
        </w:rPr>
      </w:pPr>
      <w:r w:rsidDel="00000000" w:rsidR="00000000" w:rsidRPr="00000000">
        <w:rPr>
          <w:color w:val="0a0a0a"/>
          <w:sz w:val="20"/>
          <w:szCs w:val="20"/>
          <w:highlight w:val="white"/>
          <w:rtl w:val="0"/>
        </w:rPr>
        <w:t xml:space="preserve">Materiais impressos como cartilhas e guias criam uma conexão mais próxima com o leitor. Ao ter o material em mãos, a pessoa pode guardá-lo, compartilhá-lo e revisitar o conteúdo, o que aumenta a absorção da mensagem.O material impresso permite segmentar o público-alvo geograficamente e contextualmente.</w:t>
      </w:r>
      <w:r w:rsidDel="00000000" w:rsidR="00000000" w:rsidRPr="00000000">
        <w:rPr>
          <w:color w:val="0a0a0a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A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200" w:line="360" w:lineRule="auto"/>
        <w:jc w:val="center"/>
        <w:rPr/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-85720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F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0gsXXxOccEKlhy4nbdz2SCs8kQ==">CgMxLjAyDmguNmpidjdrdnkzZ3JlMg5oLjloYzI1emV0djYwMjIOaC45b2poZ3NoMjE1M3g4AHIhMW41R1hLakVkQXk4aExRQ2tTM29TeVFSU1ZkVEZmSE5M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