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widowControl w:val="0"/>
        <w:tabs>
          <w:tab w:val="left" w:leader="none" w:pos="8100"/>
        </w:tabs>
        <w:spacing w:after="0" w:before="0" w:line="360" w:lineRule="auto"/>
        <w:jc w:val="center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EMENDA Nº. 74  </w:t>
      </w:r>
      <w:r w:rsidDel="00000000" w:rsidR="00000000" w:rsidRPr="00000000">
        <w:rPr>
          <w:sz w:val="20"/>
          <w:szCs w:val="20"/>
          <w:u w:val="single"/>
          <w:rtl w:val="0"/>
        </w:rPr>
        <w:t xml:space="preserve">ADITIVA</w:t>
      </w:r>
      <w:r w:rsidDel="00000000" w:rsidR="00000000" w:rsidRPr="00000000">
        <w:rPr>
          <w:sz w:val="20"/>
          <w:szCs w:val="20"/>
          <w:rtl w:val="0"/>
        </w:rPr>
        <w:t xml:space="preserve"> AO PROJETO DE LEI Nº. 00361/2025</w:t>
      </w:r>
    </w:p>
    <w:p w:rsidR="00000000" w:rsidDel="00000000" w:rsidP="00000000" w:rsidRDefault="00000000" w:rsidRPr="00000000" w14:paraId="00000002">
      <w:pPr>
        <w:widowControl w:val="0"/>
        <w:spacing w:after="160" w:line="276" w:lineRule="auto"/>
        <w:ind w:left="8556" w:firstLine="0"/>
        <w:jc w:val="both"/>
        <w:rPr>
          <w:sz w:val="20"/>
          <w:szCs w:val="20"/>
        </w:rPr>
      </w:pPr>
      <w:r w:rsidDel="00000000" w:rsidR="00000000" w:rsidRPr="00000000">
        <w:rPr>
          <w:b w:val="1"/>
          <w:sz w:val="20"/>
          <w:szCs w:val="20"/>
          <w:u w:val="single"/>
          <w:rtl w:val="0"/>
        </w:rPr>
        <w:t xml:space="preserve">Acrescenta-se</w:t>
      </w:r>
      <w:r w:rsidDel="00000000" w:rsidR="00000000" w:rsidRPr="00000000">
        <w:rPr>
          <w:b w:val="1"/>
          <w:sz w:val="20"/>
          <w:szCs w:val="20"/>
          <w:rtl w:val="0"/>
        </w:rPr>
        <w:t xml:space="preserve"> o </w:t>
      </w:r>
      <w:r w:rsidDel="00000000" w:rsidR="00000000" w:rsidRPr="00000000">
        <w:rPr>
          <w:b w:val="1"/>
          <w:sz w:val="20"/>
          <w:szCs w:val="20"/>
          <w:u w:val="single"/>
          <w:rtl w:val="0"/>
        </w:rPr>
        <w:t xml:space="preserve">Criação de Núcleo de Atendimento de Altas Habilidades/Superdotação</w:t>
      </w:r>
      <w:r w:rsidDel="00000000" w:rsidR="00000000" w:rsidRPr="00000000">
        <w:rPr>
          <w:b w:val="1"/>
          <w:sz w:val="20"/>
          <w:szCs w:val="20"/>
          <w:rtl w:val="0"/>
        </w:rPr>
        <w:t xml:space="preserve"> no anexo I – Estrutura Consolidada do Plano Plurianual 2026-2029 para o quadriênio 2026/2029, no Programa 135- Educação Para Todos, do Projeto de Lei 00361/2025.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widowControl w:val="0"/>
        <w:spacing w:after="160" w:line="240" w:lineRule="auto"/>
        <w:jc w:val="both"/>
        <w:rPr>
          <w:sz w:val="20"/>
          <w:szCs w:val="20"/>
        </w:rPr>
      </w:pPr>
      <w:r w:rsidDel="00000000" w:rsidR="00000000" w:rsidRPr="00000000">
        <w:rPr>
          <w:b w:val="1"/>
          <w:sz w:val="20"/>
          <w:szCs w:val="20"/>
          <w:rtl w:val="0"/>
        </w:rPr>
        <w:t xml:space="preserve">Art.1º -</w:t>
      </w:r>
      <w:r w:rsidDel="00000000" w:rsidR="00000000" w:rsidRPr="00000000">
        <w:rPr>
          <w:sz w:val="20"/>
          <w:szCs w:val="20"/>
          <w:rtl w:val="0"/>
        </w:rPr>
        <w:t xml:space="preserve"> </w:t>
      </w:r>
      <w:r w:rsidDel="00000000" w:rsidR="00000000" w:rsidRPr="00000000">
        <w:rPr>
          <w:sz w:val="20"/>
          <w:szCs w:val="20"/>
          <w:u w:val="single"/>
          <w:rtl w:val="0"/>
        </w:rPr>
        <w:t xml:space="preserve">Acrescenta-se</w:t>
      </w:r>
      <w:r w:rsidDel="00000000" w:rsidR="00000000" w:rsidRPr="00000000">
        <w:rPr>
          <w:sz w:val="20"/>
          <w:szCs w:val="20"/>
          <w:rtl w:val="0"/>
        </w:rPr>
        <w:t xml:space="preserve"> no anexo I – Estrutura Consolidada do Plano Plurianual 2026-2029 para o quadriênio 2026/2029, no programa 135- Educação Para Todos do Projeto de Lei 000361/2025, conforme tabela abaixo: </w:t>
      </w:r>
    </w:p>
    <w:tbl>
      <w:tblPr>
        <w:tblStyle w:val="Table1"/>
        <w:tblW w:w="14445.0" w:type="dxa"/>
        <w:jc w:val="left"/>
        <w:tblInd w:w="-255.0" w:type="dxa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915"/>
        <w:gridCol w:w="1125"/>
        <w:gridCol w:w="870"/>
        <w:gridCol w:w="330"/>
        <w:gridCol w:w="870"/>
        <w:gridCol w:w="945"/>
        <w:gridCol w:w="345"/>
        <w:gridCol w:w="1245"/>
        <w:gridCol w:w="960"/>
        <w:gridCol w:w="840"/>
        <w:gridCol w:w="480"/>
        <w:gridCol w:w="1380"/>
        <w:gridCol w:w="915"/>
        <w:gridCol w:w="855"/>
        <w:gridCol w:w="930"/>
        <w:gridCol w:w="1440"/>
        <w:tblGridChange w:id="0">
          <w:tblGrid>
            <w:gridCol w:w="915"/>
            <w:gridCol w:w="1125"/>
            <w:gridCol w:w="870"/>
            <w:gridCol w:w="330"/>
            <w:gridCol w:w="870"/>
            <w:gridCol w:w="945"/>
            <w:gridCol w:w="345"/>
            <w:gridCol w:w="1245"/>
            <w:gridCol w:w="960"/>
            <w:gridCol w:w="840"/>
            <w:gridCol w:w="480"/>
            <w:gridCol w:w="1380"/>
            <w:gridCol w:w="915"/>
            <w:gridCol w:w="855"/>
            <w:gridCol w:w="930"/>
            <w:gridCol w:w="1440"/>
          </w:tblGrid>
        </w:tblGridChange>
      </w:tblGrid>
      <w:tr>
        <w:trPr>
          <w:cantSplit w:val="0"/>
          <w:trHeight w:val="300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04">
            <w:pPr>
              <w:widowControl w:val="0"/>
              <w:spacing w:line="25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PROGRAMA: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08">
            <w:pPr>
              <w:widowControl w:val="0"/>
              <w:spacing w:line="279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135- Educação Para Todos 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14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TÍTULO DO PRODUTO: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18">
            <w:pPr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Criação de Núcleo de Atendimento de Altas Habilidades/Superdotação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24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DESCRIÇÃO DO PRODUTO: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</w:tcPr>
          <w:p w:rsidR="00000000" w:rsidDel="00000000" w:rsidP="00000000" w:rsidRDefault="00000000" w:rsidRPr="00000000" w14:paraId="00000028">
            <w:pPr>
              <w:spacing w:line="276" w:lineRule="auto"/>
              <w:rPr>
                <w:highlight w:val="white"/>
              </w:rPr>
            </w:pPr>
            <w:r w:rsidDel="00000000" w:rsidR="00000000" w:rsidRPr="00000000">
              <w:rPr>
                <w:shd w:fill="f8f9fa" w:val="clear"/>
                <w:rtl w:val="0"/>
              </w:rPr>
              <w:t xml:space="preserve">Criação de um </w:t>
            </w:r>
            <w:r w:rsidDel="00000000" w:rsidR="00000000" w:rsidRPr="00000000">
              <w:rPr>
                <w:highlight w:val="white"/>
                <w:rtl w:val="0"/>
              </w:rPr>
              <w:t xml:space="preserve">um espaço de apoio pedagógico e atividades específicas para estudantes com altas habilidades ou superdotação, que devem estar matriculados na rede pública de ensino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4">
            <w:pPr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UNIDADE DE MEDIDA: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8">
            <w:pPr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Unidade</w:t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A">
            <w:pPr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ÓRGÃO GESTOR: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C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Fundação Municipal de Educação </w:t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E">
            <w:pPr>
              <w:widowControl w:val="0"/>
              <w:spacing w:line="240" w:lineRule="auto"/>
              <w:jc w:val="center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AGENDA TRANSVERSAL:</w:t>
            </w:r>
          </w:p>
        </w:tc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40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NITERÓI PRIMEIRA INFÂNCIA;</w:t>
            </w:r>
          </w:p>
          <w:p w:rsidR="00000000" w:rsidDel="00000000" w:rsidP="00000000" w:rsidRDefault="00000000" w:rsidRPr="00000000" w14:paraId="00000041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NITERÓI JOVEM;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45">
            <w:pPr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2026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5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48">
            <w:pPr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2027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bottom"/>
          </w:tcPr>
          <w:p w:rsidR="00000000" w:rsidDel="00000000" w:rsidP="00000000" w:rsidRDefault="00000000" w:rsidRPr="00000000" w14:paraId="0000004D">
            <w:pPr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2028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1">
            <w:pPr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2029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4">
            <w:pPr>
              <w:spacing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Região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5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6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8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A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D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E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1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2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19.7045898437499" w:hRule="atLeast"/>
          <w:tblHeader w:val="0"/>
        </w:trPr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6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7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A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C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E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0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2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3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7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5">
            <w:pPr>
              <w:widowControl w:val="0"/>
              <w:spacing w:line="25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1</w:t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6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R$100.000,00</w:t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7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8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1</w:t>
            </w:r>
          </w:p>
        </w:tc>
        <w:tc>
          <w:tcPr>
            <w:gridSpan w:val="2"/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A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C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R$20.000,00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D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1</w:t>
            </w:r>
          </w:p>
        </w:tc>
        <w:tc>
          <w:tcPr>
            <w:gridSpan w:val="2"/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E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0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R$20.000,00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1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1</w:t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2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3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R$20.000,00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4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Niterói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5">
            <w:pPr>
              <w:widowControl w:val="0"/>
              <w:spacing w:line="25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8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D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1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4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Leste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5">
            <w:pPr>
              <w:widowControl w:val="0"/>
              <w:spacing w:line="25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8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D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1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4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Norte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5">
            <w:pPr>
              <w:widowControl w:val="0"/>
              <w:spacing w:line="25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8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D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1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4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Oceânica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5">
            <w:pPr>
              <w:widowControl w:val="0"/>
              <w:spacing w:line="25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8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D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1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4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Pendotiba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5">
            <w:pPr>
              <w:widowControl w:val="0"/>
              <w:spacing w:line="25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8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D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1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4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Praias da Baía</w:t>
            </w:r>
          </w:p>
        </w:tc>
      </w:tr>
    </w:tbl>
    <w:p w:rsidR="00000000" w:rsidDel="00000000" w:rsidP="00000000" w:rsidRDefault="00000000" w:rsidRPr="00000000" w14:paraId="000000D5">
      <w:pPr>
        <w:spacing w:after="160" w:line="240" w:lineRule="auto"/>
        <w:rPr>
          <w:i w:val="1"/>
          <w:sz w:val="20"/>
          <w:szCs w:val="20"/>
        </w:rPr>
      </w:pPr>
      <w:bookmarkStart w:colFirst="0" w:colLast="0" w:name="_heading=h.6jbv7kvy3gre" w:id="0"/>
      <w:bookmarkEnd w:id="0"/>
      <w:r w:rsidDel="00000000" w:rsidR="00000000" w:rsidRPr="00000000">
        <w:rPr>
          <w:i w:val="1"/>
          <w:sz w:val="20"/>
          <w:szCs w:val="20"/>
          <w:rtl w:val="0"/>
        </w:rPr>
        <w:t xml:space="preserve">Os campos acima servem para informar a(s) meta(s) física(s) e valor(s) estimado(s) para o produto, é opcional informar a região e/ou meta física para cada região.</w:t>
      </w:r>
    </w:p>
    <w:p w:rsidR="00000000" w:rsidDel="00000000" w:rsidP="00000000" w:rsidRDefault="00000000" w:rsidRPr="00000000" w14:paraId="000000D6">
      <w:pPr>
        <w:spacing w:after="160" w:line="240" w:lineRule="auto"/>
        <w:rPr>
          <w:i w:val="1"/>
          <w:sz w:val="20"/>
          <w:szCs w:val="20"/>
        </w:rPr>
      </w:pPr>
      <w:bookmarkStart w:colFirst="0" w:colLast="0" w:name="_heading=h.9hc25zetv602" w:id="1"/>
      <w:bookmarkEnd w:id="1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7">
      <w:pPr>
        <w:spacing w:after="160" w:line="279" w:lineRule="auto"/>
        <w:rPr>
          <w:sz w:val="20"/>
          <w:szCs w:val="20"/>
        </w:rPr>
      </w:pPr>
      <w:r w:rsidDel="00000000" w:rsidR="00000000" w:rsidRPr="00000000">
        <w:rPr>
          <w:b w:val="1"/>
          <w:sz w:val="20"/>
          <w:szCs w:val="20"/>
          <w:rtl w:val="0"/>
        </w:rPr>
        <w:t xml:space="preserve">Art. 2º </w:t>
      </w:r>
      <w:r w:rsidDel="00000000" w:rsidR="00000000" w:rsidRPr="00000000">
        <w:rPr>
          <w:sz w:val="20"/>
          <w:szCs w:val="20"/>
          <w:rtl w:val="0"/>
        </w:rPr>
        <w:t xml:space="preserve">- Os valores para a execução do produto acima, serão compensados conforme tabela abaixo:</w:t>
      </w:r>
    </w:p>
    <w:tbl>
      <w:tblPr>
        <w:tblStyle w:val="Table2"/>
        <w:tblW w:w="14078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7030"/>
        <w:gridCol w:w="7048"/>
        <w:tblGridChange w:id="0">
          <w:tblGrid>
            <w:gridCol w:w="7030"/>
            <w:gridCol w:w="7048"/>
          </w:tblGrid>
        </w:tblGridChange>
      </w:tblGrid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8">
            <w:pPr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PROGRAMA DE ORIGEM DO VALOR DE CUSTEIO: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9">
            <w:pPr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VALOR PROPOSTO PARA COMPENSAÇÃO DA EMENDA: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A">
            <w:pPr>
              <w:spacing w:line="240" w:lineRule="auto"/>
              <w:rPr>
                <w:sz w:val="20"/>
                <w:szCs w:val="20"/>
                <w:highlight w:val="yellow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915- Niterói Pela Acessibilidade e Inclusão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B">
            <w:pPr>
              <w:widowControl w:val="0"/>
              <w:spacing w:line="279" w:lineRule="auto"/>
              <w:jc w:val="center"/>
              <w:rPr>
                <w:sz w:val="20"/>
                <w:szCs w:val="20"/>
                <w:highlight w:val="yellow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R$ 60.000,00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C">
            <w:pPr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PROGRAMA DE ORIGEM DO VALOR DE INVESTIMENTO: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D">
            <w:pPr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VALOR PROPOSTO PARA COMPENSAÇÃO DA EMENDA: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E">
            <w:pPr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915- Niterói Pela Acessibilidade e Inclusão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F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R$ 100.000,00</w:t>
            </w:r>
          </w:p>
        </w:tc>
      </w:tr>
    </w:tbl>
    <w:p w:rsidR="00000000" w:rsidDel="00000000" w:rsidP="00000000" w:rsidRDefault="00000000" w:rsidRPr="00000000" w14:paraId="000000E0">
      <w:pPr>
        <w:spacing w:after="160" w:line="279" w:lineRule="auto"/>
        <w:rPr>
          <w:sz w:val="20"/>
          <w:szCs w:val="20"/>
        </w:rPr>
      </w:pPr>
      <w:r w:rsidDel="00000000" w:rsidR="00000000" w:rsidRPr="00000000">
        <w:rPr>
          <w:i w:val="1"/>
          <w:sz w:val="20"/>
          <w:szCs w:val="20"/>
          <w:rtl w:val="0"/>
        </w:rPr>
        <w:t xml:space="preserve">Os campos acima servem para informar de qual(s) Programa(s) o valor emendado será compensado. O programa de origem pode ser o mesmo citado no Artigo 1º.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1">
      <w:pPr>
        <w:widowControl w:val="0"/>
        <w:spacing w:after="160" w:line="279" w:lineRule="auto"/>
        <w:rPr>
          <w:b w:val="1"/>
          <w:sz w:val="20"/>
          <w:szCs w:val="20"/>
        </w:rPr>
      </w:pPr>
      <w:r w:rsidDel="00000000" w:rsidR="00000000" w:rsidRPr="00000000">
        <w:rPr>
          <w:b w:val="1"/>
          <w:sz w:val="20"/>
          <w:szCs w:val="20"/>
          <w:rtl w:val="0"/>
        </w:rPr>
        <w:t xml:space="preserve">JUSTIFICATIVA: </w:t>
      </w:r>
    </w:p>
    <w:p w:rsidR="00000000" w:rsidDel="00000000" w:rsidP="00000000" w:rsidRDefault="00000000" w:rsidRPr="00000000" w14:paraId="000000E2">
      <w:pPr>
        <w:spacing w:line="240" w:lineRule="auto"/>
        <w:jc w:val="both"/>
        <w:rPr>
          <w:color w:val="001d35"/>
          <w:sz w:val="20"/>
          <w:szCs w:val="20"/>
          <w:highlight w:val="white"/>
        </w:rPr>
      </w:pPr>
      <w:r w:rsidDel="00000000" w:rsidR="00000000" w:rsidRPr="00000000">
        <w:rPr>
          <w:sz w:val="20"/>
          <w:szCs w:val="20"/>
          <w:rtl w:val="0"/>
        </w:rPr>
        <w:t xml:space="preserve">Um "NAAH/S municipal" </w:t>
      </w:r>
      <w:r w:rsidDel="00000000" w:rsidR="00000000" w:rsidRPr="00000000">
        <w:rPr>
          <w:color w:val="001d35"/>
          <w:sz w:val="20"/>
          <w:szCs w:val="20"/>
          <w:rtl w:val="0"/>
        </w:rPr>
        <w:t xml:space="preserve">é um Núcleo de Atendimento e Atividades de Altas Habilidades/Superdotação, um espaço de apoio pedagógico e atividades específicas para estudantes com altas habilidades ou superdotação, que devem estar matriculados na rede pública de ensino</w:t>
      </w:r>
      <w:r w:rsidDel="00000000" w:rsidR="00000000" w:rsidRPr="00000000">
        <w:rPr>
          <w:color w:val="001d35"/>
          <w:sz w:val="20"/>
          <w:szCs w:val="20"/>
          <w:highlight w:val="white"/>
          <w:rtl w:val="0"/>
        </w:rPr>
        <w:t xml:space="preserve">. Esses núcleos oferecem atendimento especializado, orientação aos professores e apoio às famílias, sendo um direito dos alunos superdotados. </w:t>
      </w:r>
    </w:p>
    <w:p w:rsidR="00000000" w:rsidDel="00000000" w:rsidP="00000000" w:rsidRDefault="00000000" w:rsidRPr="00000000" w14:paraId="000000E3">
      <w:pPr>
        <w:shd w:fill="ffffff" w:val="clear"/>
        <w:spacing w:after="240" w:before="240" w:line="240" w:lineRule="auto"/>
        <w:jc w:val="both"/>
        <w:rPr>
          <w:color w:val="0a0a0a"/>
          <w:sz w:val="20"/>
          <w:szCs w:val="20"/>
        </w:rPr>
      </w:pPr>
      <w:r w:rsidDel="00000000" w:rsidR="00000000" w:rsidRPr="00000000">
        <w:rPr>
          <w:color w:val="0a0a0a"/>
          <w:sz w:val="20"/>
          <w:szCs w:val="20"/>
          <w:rtl w:val="0"/>
        </w:rPr>
        <w:t xml:space="preserve">O NAAHS municipal, assim como os núcleos estaduais, trabalha para identificar os estudantes da rede pública de ensino que possuem altas habilidades e assim  oferecer atendimento educacional especializado e suplementar para que esses alunos desenvolvam plenamente seu potencial, geralmente no contraturno escolar. Tem como função estimular a criatividade e o pensamento crítico dos estudantes por meio de atividades de enriquecimento curricular, como oficinas de robótica, artes, música e literatura; apoiar e orientar professores sobre como lidar e estimular esses alunos em sala de aula. Estrutura de atendimento</w:t>
      </w: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4">
      <w:pPr>
        <w:shd w:fill="ffffff" w:val="clear"/>
        <w:spacing w:after="240" w:before="240" w:line="240" w:lineRule="auto"/>
        <w:jc w:val="both"/>
        <w:rPr>
          <w:color w:val="0a0a0a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5">
      <w:pPr>
        <w:shd w:fill="ffffff" w:val="clear"/>
        <w:spacing w:after="240" w:before="240" w:line="240" w:lineRule="auto"/>
        <w:jc w:val="both"/>
        <w:rPr>
          <w:color w:val="0a0a0a"/>
          <w:sz w:val="20"/>
          <w:szCs w:val="20"/>
        </w:rPr>
      </w:pPr>
      <w:r w:rsidDel="00000000" w:rsidR="00000000" w:rsidRPr="00000000">
        <w:rPr>
          <w:color w:val="0a0a0a"/>
          <w:sz w:val="20"/>
          <w:szCs w:val="20"/>
          <w:rtl w:val="0"/>
        </w:rPr>
        <w:t xml:space="preserve">Para cumprir sua missão, o NAAHS costuma ter uma estrutura organizada em três unidades: Unidade de Atendimento ao Aluno (UAA): Responsável por identificar e oferecer atividades de enriquecimento para os estudantes. Unidade de Atendimento ao Professor (UAP): Promove a formação continuada dos educadores para trabalhar com alunos de altas habilidades. Unidade de Atendimento à Família (UAF): Oferece orientação e suporte às famílias dos estudantes atendidos.</w:t>
      </w:r>
    </w:p>
    <w:p w:rsidR="00000000" w:rsidDel="00000000" w:rsidP="00000000" w:rsidRDefault="00000000" w:rsidRPr="00000000" w14:paraId="000000E6">
      <w:pPr>
        <w:spacing w:line="240" w:lineRule="auto"/>
        <w:jc w:val="both"/>
        <w:rPr>
          <w:color w:val="001d35"/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7">
      <w:pPr>
        <w:widowControl w:val="0"/>
        <w:spacing w:after="160" w:line="279" w:lineRule="auto"/>
        <w:rPr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8">
      <w:pPr>
        <w:widowControl w:val="0"/>
        <w:spacing w:line="279" w:lineRule="auto"/>
        <w:ind w:left="567" w:firstLine="0"/>
        <w:jc w:val="right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Sala das Sessões, 15 de setembro de 2025.</w:t>
      </w:r>
    </w:p>
    <w:p w:rsidR="00000000" w:rsidDel="00000000" w:rsidP="00000000" w:rsidRDefault="00000000" w:rsidRPr="00000000" w14:paraId="000000E9">
      <w:pPr>
        <w:widowControl w:val="0"/>
        <w:spacing w:after="200" w:line="360" w:lineRule="auto"/>
        <w:ind w:firstLine="72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A">
      <w:pPr>
        <w:widowControl w:val="0"/>
        <w:spacing w:after="200" w:line="360" w:lineRule="auto"/>
        <w:jc w:val="center"/>
        <w:rPr/>
      </w:pPr>
      <w:bookmarkStart w:colFirst="0" w:colLast="0" w:name="_heading=h.9ojhgsh2153x" w:id="2"/>
      <w:bookmarkEnd w:id="2"/>
      <w:r w:rsidDel="00000000" w:rsidR="00000000" w:rsidRPr="00000000">
        <w:rPr>
          <w:b w:val="1"/>
          <w:sz w:val="24"/>
          <w:szCs w:val="24"/>
          <w:rtl w:val="0"/>
        </w:rPr>
        <w:t xml:space="preserve">Professor Tulio</w:t>
      </w:r>
      <w:r w:rsidDel="00000000" w:rsidR="00000000" w:rsidRPr="00000000">
        <w:rPr>
          <w:rtl w:val="0"/>
        </w:rPr>
      </w:r>
    </w:p>
    <w:sectPr>
      <w:headerReference r:id="rId7" w:type="default"/>
      <w:pgSz w:h="11909" w:w="16834" w:orient="landscape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Aptos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EB">
    <w:pPr>
      <w:tabs>
        <w:tab w:val="center" w:leader="none" w:pos="4680"/>
        <w:tab w:val="right" w:leader="none" w:pos="9360"/>
      </w:tabs>
      <w:spacing w:line="240" w:lineRule="auto"/>
      <w:rPr>
        <w:b w:val="1"/>
        <w:sz w:val="44"/>
        <w:szCs w:val="44"/>
      </w:rPr>
    </w:pPr>
    <w:r w:rsidDel="00000000" w:rsidR="00000000" w:rsidRPr="00000000">
      <w:rPr>
        <w:rFonts w:ascii="Aptos" w:cs="Aptos" w:eastAsia="Aptos" w:hAnsi="Aptos"/>
        <w:sz w:val="24"/>
        <w:szCs w:val="24"/>
        <w:rtl w:val="0"/>
      </w:rPr>
      <w:t xml:space="preserve">                                                             </w:t>
    </w:r>
    <w:r w:rsidDel="00000000" w:rsidR="00000000" w:rsidRPr="00000000">
      <w:rPr>
        <w:b w:val="1"/>
        <w:sz w:val="44"/>
        <w:szCs w:val="44"/>
        <w:rtl w:val="0"/>
      </w:rPr>
      <w:t xml:space="preserve">Câmara Municipal de Niterói</w:t>
    </w:r>
    <w:r w:rsidDel="00000000" w:rsidR="00000000" w:rsidRPr="00000000">
      <w:drawing>
        <wp:anchor allowOverlap="1" behindDoc="0" distB="0" distT="0" distL="114300" distR="114300" hidden="0" layoutInCell="1" locked="0" relativeHeight="0" simplePos="0">
          <wp:simplePos x="0" y="0"/>
          <wp:positionH relativeFrom="column">
            <wp:posOffset>1600200</wp:posOffset>
          </wp:positionH>
          <wp:positionV relativeFrom="paragraph">
            <wp:posOffset>-85720</wp:posOffset>
          </wp:positionV>
          <wp:extent cx="828675" cy="1018580"/>
          <wp:effectExtent b="0" l="0" r="0" t="0"/>
          <wp:wrapNone/>
          <wp:docPr id="5" name="image1.jpg"/>
          <a:graphic>
            <a:graphicData uri="http://schemas.openxmlformats.org/drawingml/2006/picture">
              <pic:pic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828675" cy="1018580"/>
                  </a:xfrm>
                  <a:prstGeom prst="rect"/>
                  <a:ln/>
                </pic:spPr>
              </pic:pic>
            </a:graphicData>
          </a:graphic>
        </wp:anchor>
      </w:drawing>
    </w:r>
  </w:p>
  <w:p w:rsidR="00000000" w:rsidDel="00000000" w:rsidP="00000000" w:rsidRDefault="00000000" w:rsidRPr="00000000" w14:paraId="000000EC">
    <w:pPr>
      <w:tabs>
        <w:tab w:val="center" w:leader="none" w:pos="4513"/>
        <w:tab w:val="right" w:leader="none" w:pos="9026"/>
      </w:tabs>
      <w:spacing w:line="240" w:lineRule="auto"/>
      <w:jc w:val="center"/>
      <w:rPr>
        <w:b w:val="1"/>
        <w:sz w:val="28"/>
        <w:szCs w:val="28"/>
      </w:rPr>
    </w:pPr>
    <w:r w:rsidDel="00000000" w:rsidR="00000000" w:rsidRPr="00000000">
      <w:rPr>
        <w:b w:val="1"/>
        <w:sz w:val="28"/>
        <w:szCs w:val="28"/>
        <w:rtl w:val="0"/>
      </w:rPr>
      <w:t xml:space="preserve">Gabinete do Vereador Professor Tulio</w:t>
    </w:r>
  </w:p>
  <w:p w:rsidR="00000000" w:rsidDel="00000000" w:rsidP="00000000" w:rsidRDefault="00000000" w:rsidRPr="00000000" w14:paraId="000000ED">
    <w:pPr>
      <w:tabs>
        <w:tab w:val="center" w:leader="none" w:pos="4513"/>
        <w:tab w:val="right" w:leader="none" w:pos="9026"/>
      </w:tabs>
      <w:spacing w:line="240" w:lineRule="auto"/>
      <w:jc w:val="center"/>
      <w:rPr>
        <w:b w:val="1"/>
        <w:sz w:val="24"/>
        <w:szCs w:val="24"/>
      </w:rPr>
    </w:pPr>
    <w:r w:rsidDel="00000000" w:rsidR="00000000" w:rsidRPr="00000000">
      <w:rPr>
        <w:b w:val="1"/>
        <w:sz w:val="24"/>
        <w:szCs w:val="24"/>
        <w:rtl w:val="0"/>
      </w:rPr>
      <w:t xml:space="preserve">Partido Socialismo e Liberdade (PSOL)</w:t>
    </w:r>
  </w:p>
  <w:p w:rsidR="00000000" w:rsidDel="00000000" w:rsidP="00000000" w:rsidRDefault="00000000" w:rsidRPr="00000000" w14:paraId="000000EE">
    <w:pPr>
      <w:tabs>
        <w:tab w:val="center" w:leader="none" w:pos="4513"/>
        <w:tab w:val="right" w:leader="none" w:pos="9026"/>
      </w:tabs>
      <w:spacing w:line="240" w:lineRule="auto"/>
      <w:jc w:val="center"/>
      <w:rPr>
        <w:b w:val="1"/>
        <w:sz w:val="24"/>
        <w:szCs w:val="24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EF">
    <w:pPr>
      <w:tabs>
        <w:tab w:val="center" w:leader="none" w:pos="4680"/>
        <w:tab w:val="right" w:leader="none" w:pos="9360"/>
      </w:tabs>
      <w:spacing w:line="240" w:lineRule="auto"/>
      <w:rPr>
        <w:rFonts w:ascii="Aptos" w:cs="Aptos" w:eastAsia="Aptos" w:hAnsi="Aptos"/>
        <w:sz w:val="24"/>
        <w:szCs w:val="24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pt_BR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VSqdqjAYrRiZFgfER1G3/JoAA7w==">CgMxLjAyDmguNmpidjdrdnkzZ3JlMg5oLjloYzI1emV0djYwMjIOaC45b2poZ3NoMjE1M3g4AHIhMXhSMGk2S2p3MjkwWGk4aUMtT0xleEJxZVpFeXdTelE0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