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sz w:val="20"/>
          <w:szCs w:val="20"/>
          <w:rtl w:val="0"/>
        </w:rPr>
        <w:t xml:space="preserve">Programa Municipal de Arborização em Vagas (“Vaga Verde”) implantado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0147 | Cidade Verde e Sustentável,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0147 | Cidade Verde e Sustentável,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490.0" w:type="dxa"/>
        <w:jc w:val="left"/>
        <w:tblInd w:w="-30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35"/>
        <w:gridCol w:w="795"/>
        <w:gridCol w:w="1350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795"/>
        <w:gridCol w:w="1245"/>
        <w:gridCol w:w="1185"/>
        <w:tblGridChange w:id="0">
          <w:tblGrid>
            <w:gridCol w:w="1035"/>
            <w:gridCol w:w="795"/>
            <w:gridCol w:w="1350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795"/>
            <w:gridCol w:w="1245"/>
            <w:gridCol w:w="118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Municipal de Arborização em Vagas - “Vaga Verde”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de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módulos Vaga Verde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em vias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locais e coletoras sem tráfego de ônibus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convertendo vagas de estacionamento em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canteiros arborizados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e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jardins de chuva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. Cada módulo inclui: preparo e estruturação do solo (60–90 cm), plantio de espécie nativa compatível, proteção perimetral, rebaixo de guia para captação de águas pluviais (quando houver jardim de chuva), sinalização horizontal/vertical e ajustes de passeio/acessibilidade quando necessários.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MOBILIDADE E INFRAESTRUTURA SEMOBI e SECONSER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implantação do produto “Vaga Verde” se justifica por oferecer uma resposta urbana simples, escalável e de baixo custo a três desafios estruturantes das cidades: calor extremo, alagamentos recorrentes e degradação do espaço público. Ao converter vagas de estacionamento em vias locais e coletoras sem tráfego de ônibus em canteiros arborizados e jardins de chuva, o município amplia a cobertura vegetal e a permeabilidade do solo, reduz ilhas de calor por sombreamento e evapotranspiração, melhora a qualidade do ar e retarda o escoamento superficial das chuvas, contribuindo para mitigar pontos de alagamento e sobrecargas da drenagem. O redesenho do bordo da via, com canteiros e sinalização, qualifica a caminhabilidade, acalma o tráfego e fortalece o comércio de proximidade, gerando benefícios diretos para quem caminha, pedala e utiliza os serviços do bairro.</w:t>
      </w:r>
    </w:p>
    <w:p w:rsidR="00000000" w:rsidDel="00000000" w:rsidP="00000000" w:rsidRDefault="00000000" w:rsidRPr="00000000" w14:paraId="000000E3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Trata-se de uma intervenção tecnicamente viável, com obras de baixa complexidade (rebaixo de guia, solo estruturado, plantio de espécies nativas, conexão hidráulica simples) e custos modulares que permitem planejamento por frentes e por corredores verdes. A manutenção assistida nos primeiros 24 meses garante o estabelecimento das árvores e a funcionalidade dos jardins de chuva, enquanto o uso de padrões construtivos — consolidados em caderno de detalhes — dá segurança técnica e previsibilidade orçamentária. A priorização de áreas com menor cobertura arbórea, maiores temperaturas de superfície e maior incidência de alagamentos promove justiça ambiental e reduz vulnerabilidades, alinhando o produto às agendas de adaptação climática, saúde pública e resiliência urbana.</w:t>
      </w:r>
    </w:p>
    <w:p w:rsidR="00000000" w:rsidDel="00000000" w:rsidP="00000000" w:rsidRDefault="00000000" w:rsidRPr="00000000" w14:paraId="000000E4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“Vaga Verde” dialoga e integra‐se ao Plano Diretor, ao Plano Municipal de Arborização, ao Plano de Drenagem, ao Plano de Mobilidade e às estratégias de neutralidade de carbono e de adaptação às mudanças do clima, constituindo instrumento efetivo para cumprimento de metas ambientais e urbanísticas. Sua governança pode combinar execução direta com termos de cooperação e compensações ambientais, sem privatização do espaço público, fortalecendo a participação social por meio de mapa de vias elegíveis, transparência de metas e canal simplificado para solicitações comunitárias. Diante dos ganhos ambientais, sanitários e urbanísticos, da relação custo-benefício favorável e da capacidade de entrega em curto prazo, a inclusão deste produto no PPA 2026 é medida oportuna e necessária para transformar ruas locais e coletoras em corredores verdes mais frescos, seguros e acolhedores.</w:t>
      </w:r>
    </w:p>
    <w:p w:rsidR="00000000" w:rsidDel="00000000" w:rsidP="00000000" w:rsidRDefault="00000000" w:rsidRPr="00000000" w14:paraId="000000E5">
      <w:pPr>
        <w:widowControl w:val="0"/>
        <w:spacing w:line="279" w:lineRule="auto"/>
        <w:ind w:left="567" w:firstLine="0"/>
        <w:jc w:val="right"/>
        <w:rPr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