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Plano de Cargos, Carreiras e Salários dos Servidores da Saúde reformulado”, no anexo I – Estrutura Consolidada do Plano Plurianual 2026-2029 para o quadriênio 2026/2029, no Programa 0133 - </w:t>
      </w:r>
      <w:r w:rsidDel="00000000" w:rsidR="00000000" w:rsidRPr="00000000">
        <w:rPr>
          <w:b w:val="1"/>
          <w:sz w:val="20"/>
          <w:szCs w:val="20"/>
          <w:highlight w:val="white"/>
          <w:rtl w:val="0"/>
        </w:rPr>
        <w:t xml:space="preserve">Atenção à Saúde</w:t>
      </w:r>
      <w:r w:rsidDel="00000000" w:rsidR="00000000" w:rsidRPr="00000000">
        <w:rPr>
          <w:b w:val="1"/>
          <w:sz w:val="20"/>
          <w:szCs w:val="20"/>
          <w:rtl w:val="0"/>
        </w:rPr>
        <w:t xml:space="preserve">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0133 - Atenção à Saúde,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40"/>
        <w:gridCol w:w="1020"/>
        <w:gridCol w:w="180"/>
        <w:gridCol w:w="810"/>
        <w:gridCol w:w="1005"/>
        <w:gridCol w:w="345"/>
        <w:gridCol w:w="915"/>
        <w:gridCol w:w="1290"/>
        <w:gridCol w:w="840"/>
        <w:gridCol w:w="480"/>
        <w:gridCol w:w="1290"/>
        <w:gridCol w:w="1005"/>
        <w:gridCol w:w="855"/>
        <w:gridCol w:w="930"/>
        <w:gridCol w:w="1440"/>
        <w:tblGridChange w:id="0">
          <w:tblGrid>
            <w:gridCol w:w="945"/>
            <w:gridCol w:w="840"/>
            <w:gridCol w:w="1020"/>
            <w:gridCol w:w="180"/>
            <w:gridCol w:w="810"/>
            <w:gridCol w:w="1005"/>
            <w:gridCol w:w="345"/>
            <w:gridCol w:w="915"/>
            <w:gridCol w:w="1290"/>
            <w:gridCol w:w="840"/>
            <w:gridCol w:w="480"/>
            <w:gridCol w:w="1290"/>
            <w:gridCol w:w="100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0133 -</w:t>
            </w: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 Atenção à 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Plano de Cargos, Carreiras e Salários dos Servidores da Saúde reformulado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Reformulação do Plano de Cargos, Carreiras e Salários (PCCS) dos Servidores da Saúde, com o objetivo de garantir maior valorização profissional e condições adequadas de desenvolvimento para os servidores da área. A atualização do PCCS visa a reorganização das carreiras, a definição de novos critérios de progressão, a implementação de planos de capacitação contínua e a revisão das tabelas salariais, promovendo uma remuneração justa e condizente com as responsabilidades e especializações dos profissionais da saúde.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de Saúde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 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R$700.000,00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npdeejlxstzk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2942it840t59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at8s3w7tg9ox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133 - Atenção à Saúde 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R$1.000.000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se justifica pela necessidade urgente de atualizar o Plano de Cargos, Carreiras e Salários (PCCS) dos servidores da saúde, de forma a garantir a valorização desses profissionais e a melhoria das condições de trabalho, refletindo diretamente na qualidade do atendimento à população. Com a evolução das demandas e a crescente complexidade dos serviços de saúde, é fundamental que o PCCS seja reformulado para contemplar novas realidades, como o surgimento de especializações, a implementação de novos modelos de gestão e o fortalecimento da carreira dos profissionais de saúde.</w:t>
      </w:r>
    </w:p>
    <w:p w:rsidR="00000000" w:rsidDel="00000000" w:rsidP="00000000" w:rsidRDefault="00000000" w:rsidRPr="00000000" w14:paraId="000000E6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Além disso, a revisão das tabelas salariais e a definição de critérios claros para progressão de carreira são essenciais para reter talentos, aumentar a motivação e reduzir a rotatividade dos servidores. A capacitação contínua também se torna imprescindível, dada a constante atualização das práticas e tecnologias na área da saúde.</w:t>
      </w:r>
    </w:p>
    <w:p w:rsidR="00000000" w:rsidDel="00000000" w:rsidP="00000000" w:rsidRDefault="00000000" w:rsidRPr="00000000" w14:paraId="000000E7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reforma do PCCS é uma medida estratégica para fortalecer os quadros de servidores da saúde, garantindo uma atuação mais eficiente e humanizada nos serviços prestados à população, além de assegurar melhores condições de trabalho e incentivo ao desenvolvimento profissional desses trabalhadores essenciais.</w:t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A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200" w:line="360" w:lineRule="auto"/>
        <w:jc w:val="center"/>
        <w:rPr/>
      </w:pPr>
      <w:bookmarkStart w:colFirst="0" w:colLast="0" w:name="_heading=h.x4iyj2jb1as6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b="0" l="0" r="0" t="0"/>
          <wp:wrapNone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F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0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fdev9IboRZBsywnF77rHSiQGIw==">CgMxLjAyDmgubnBkZWVqbHhzdHprMg5oLjI5NDJpdDg0MHQ1OTIOaC5hdDhzM3c3dGc5b3gyDmgueDRpeWoyamIxYXM2OAByITEzQlpMcWg3Yl9saHk2Rlc5d0RieVJIaGRRRWZSS1VPcA==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